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071E1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PARLAMENTUL ROMÂNIEI</w:t>
      </w:r>
    </w:p>
    <w:p w14:paraId="5D9A66F2" w14:textId="77777777" w:rsidR="00842797" w:rsidRPr="00071E16" w:rsidRDefault="00842797" w:rsidP="006B045F">
      <w:pPr>
        <w:pStyle w:val="Corp"/>
        <w:spacing w:after="0" w:line="240" w:lineRule="auto"/>
        <w:jc w:val="center"/>
        <w:rPr>
          <w:rFonts w:ascii="Times New Roman" w:eastAsia="Times New Roman" w:hAnsi="Times New Roman" w:cs="Times New Roman"/>
          <w:sz w:val="24"/>
          <w:szCs w:val="24"/>
          <w:lang w:val="ro-RO"/>
        </w:rPr>
      </w:pPr>
      <w:r w:rsidRPr="00071E1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071E1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071E16">
        <w:rPr>
          <w:rFonts w:ascii="Times New Roman" w:hAnsi="Times New Roman" w:cs="Times New Roman"/>
          <w:b/>
          <w:bCs/>
          <w:i/>
          <w:iCs/>
          <w:sz w:val="24"/>
          <w:szCs w:val="24"/>
          <w:lang w:val="ro-RO"/>
        </w:rPr>
        <w:t>Comisia pentru politică externă</w:t>
      </w:r>
    </w:p>
    <w:p w14:paraId="5BB1FE77" w14:textId="74D109CE" w:rsidR="00842797" w:rsidRPr="00071E1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 xml:space="preserve">               </w:t>
      </w:r>
    </w:p>
    <w:p w14:paraId="2B888FD6" w14:textId="77777777" w:rsidR="00A00BD3" w:rsidRPr="00071E1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071E16" w:rsidRDefault="00DD018D" w:rsidP="006B045F">
      <w:pPr>
        <w:pStyle w:val="Corp"/>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SINTEZA</w:t>
      </w:r>
    </w:p>
    <w:p w14:paraId="30C6853D" w14:textId="5FB28CF4" w:rsidR="00DD018D" w:rsidRPr="00071E16"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lucrărilor Comisiei pentru politică externă</w:t>
      </w:r>
    </w:p>
    <w:p w14:paraId="6EABCBBB" w14:textId="2988CE44" w:rsidR="00842797" w:rsidRPr="00071E16"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din</w:t>
      </w:r>
      <w:r w:rsidR="00DD018D" w:rsidRPr="00071E16">
        <w:rPr>
          <w:rFonts w:ascii="Times New Roman" w:hAnsi="Times New Roman" w:cs="Times New Roman"/>
          <w:b/>
          <w:bCs/>
          <w:sz w:val="24"/>
          <w:szCs w:val="24"/>
          <w:lang w:val="ro-RO"/>
        </w:rPr>
        <w:t xml:space="preserve"> ziua de</w:t>
      </w:r>
      <w:r w:rsidRPr="00071E16">
        <w:rPr>
          <w:rFonts w:ascii="Times New Roman" w:hAnsi="Times New Roman" w:cs="Times New Roman"/>
          <w:b/>
          <w:bCs/>
          <w:sz w:val="24"/>
          <w:szCs w:val="24"/>
          <w:lang w:val="ro-RO"/>
        </w:rPr>
        <w:t xml:space="preserve"> </w:t>
      </w:r>
      <w:r w:rsidR="00C70F83">
        <w:rPr>
          <w:rFonts w:ascii="Times New Roman" w:hAnsi="Times New Roman" w:cs="Times New Roman"/>
          <w:b/>
          <w:bCs/>
          <w:sz w:val="24"/>
          <w:szCs w:val="24"/>
          <w:lang w:val="ro-RO"/>
        </w:rPr>
        <w:t>19</w:t>
      </w:r>
      <w:r w:rsidRPr="00071E16">
        <w:rPr>
          <w:rFonts w:ascii="Times New Roman" w:hAnsi="Times New Roman" w:cs="Times New Roman"/>
          <w:b/>
          <w:bCs/>
          <w:sz w:val="24"/>
          <w:szCs w:val="24"/>
          <w:lang w:val="ro-RO"/>
        </w:rPr>
        <w:t xml:space="preserve"> </w:t>
      </w:r>
      <w:r w:rsidR="00C70F83">
        <w:rPr>
          <w:rFonts w:ascii="Times New Roman" w:hAnsi="Times New Roman" w:cs="Times New Roman"/>
          <w:b/>
          <w:bCs/>
          <w:sz w:val="24"/>
          <w:szCs w:val="24"/>
          <w:lang w:val="ro-RO"/>
        </w:rPr>
        <w:t>ianua</w:t>
      </w:r>
      <w:r w:rsidR="00A12F01" w:rsidRPr="00071E16">
        <w:rPr>
          <w:rFonts w:ascii="Times New Roman" w:hAnsi="Times New Roman" w:cs="Times New Roman"/>
          <w:b/>
          <w:bCs/>
          <w:sz w:val="24"/>
          <w:szCs w:val="24"/>
          <w:lang w:val="ro-RO"/>
        </w:rPr>
        <w:t xml:space="preserve">rie </w:t>
      </w:r>
      <w:r w:rsidRPr="00071E16">
        <w:rPr>
          <w:rFonts w:ascii="Times New Roman" w:hAnsi="Times New Roman" w:cs="Times New Roman"/>
          <w:b/>
          <w:bCs/>
          <w:sz w:val="24"/>
          <w:szCs w:val="24"/>
          <w:lang w:val="ro-RO"/>
        </w:rPr>
        <w:t>202</w:t>
      </w:r>
      <w:r w:rsidR="00C70F83">
        <w:rPr>
          <w:rFonts w:ascii="Times New Roman" w:hAnsi="Times New Roman" w:cs="Times New Roman"/>
          <w:b/>
          <w:bCs/>
          <w:sz w:val="24"/>
          <w:szCs w:val="24"/>
          <w:lang w:val="ro-RO"/>
        </w:rPr>
        <w:t>6</w:t>
      </w:r>
      <w:r w:rsidRPr="00071E16">
        <w:rPr>
          <w:rFonts w:ascii="Times New Roman" w:hAnsi="Times New Roman" w:cs="Times New Roman"/>
          <w:b/>
          <w:bCs/>
          <w:sz w:val="24"/>
          <w:szCs w:val="24"/>
          <w:lang w:val="ro-RO"/>
        </w:rPr>
        <w:t xml:space="preserve">, orele </w:t>
      </w:r>
      <w:r w:rsidR="00F4108F" w:rsidRPr="00071E16">
        <w:rPr>
          <w:rFonts w:ascii="Times New Roman" w:hAnsi="Times New Roman" w:cs="Times New Roman"/>
          <w:b/>
          <w:bCs/>
          <w:sz w:val="24"/>
          <w:szCs w:val="24"/>
          <w:lang w:val="ro-RO"/>
        </w:rPr>
        <w:t>1</w:t>
      </w:r>
      <w:r w:rsidR="00E7294C">
        <w:rPr>
          <w:rFonts w:ascii="Times New Roman" w:hAnsi="Times New Roman" w:cs="Times New Roman"/>
          <w:b/>
          <w:bCs/>
          <w:sz w:val="24"/>
          <w:szCs w:val="24"/>
          <w:lang w:val="ro-RO"/>
        </w:rPr>
        <w:t>1</w:t>
      </w:r>
      <w:r w:rsidRPr="00071E16">
        <w:rPr>
          <w:rFonts w:ascii="Times New Roman" w:hAnsi="Times New Roman" w:cs="Times New Roman"/>
          <w:b/>
          <w:bCs/>
          <w:sz w:val="24"/>
          <w:szCs w:val="24"/>
          <w:lang w:val="ro-RO"/>
        </w:rPr>
        <w:t>:</w:t>
      </w:r>
      <w:r w:rsidR="004C2A43" w:rsidRPr="00071E16">
        <w:rPr>
          <w:rFonts w:ascii="Times New Roman" w:hAnsi="Times New Roman" w:cs="Times New Roman"/>
          <w:b/>
          <w:bCs/>
          <w:sz w:val="24"/>
          <w:szCs w:val="24"/>
          <w:lang w:val="ro-RO"/>
        </w:rPr>
        <w:t>0</w:t>
      </w:r>
      <w:r w:rsidRPr="00071E16">
        <w:rPr>
          <w:rFonts w:ascii="Times New Roman" w:hAnsi="Times New Roman" w:cs="Times New Roman"/>
          <w:b/>
          <w:bCs/>
          <w:sz w:val="24"/>
          <w:szCs w:val="24"/>
          <w:lang w:val="ro-RO"/>
        </w:rPr>
        <w:t>0</w:t>
      </w:r>
    </w:p>
    <w:p w14:paraId="4FB3BE77" w14:textId="77777777" w:rsidR="00842797" w:rsidRPr="00071E16"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p>
    <w:p w14:paraId="4DF580A6" w14:textId="16479431" w:rsidR="00DD018D" w:rsidRPr="00071E16" w:rsidRDefault="00DD018D" w:rsidP="00DD018D">
      <w:pPr>
        <w:pStyle w:val="Corp"/>
        <w:tabs>
          <w:tab w:val="left" w:pos="567"/>
        </w:tabs>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 xml:space="preserve">Comisia pentru politică externă </w:t>
      </w:r>
      <w:proofErr w:type="spellStart"/>
      <w:r w:rsidRPr="00071E16">
        <w:rPr>
          <w:rFonts w:ascii="Times New Roman" w:eastAsia="Times New Roman" w:hAnsi="Times New Roman" w:cs="Times New Roman"/>
          <w:sz w:val="24"/>
          <w:szCs w:val="24"/>
          <w:lang w:val="ro-RO"/>
        </w:rPr>
        <w:t>şi</w:t>
      </w:r>
      <w:proofErr w:type="spellEnd"/>
      <w:r w:rsidRPr="00071E16">
        <w:rPr>
          <w:rFonts w:ascii="Times New Roman" w:eastAsia="Times New Roman" w:hAnsi="Times New Roman" w:cs="Times New Roman"/>
          <w:sz w:val="24"/>
          <w:szCs w:val="24"/>
          <w:lang w:val="ro-RO"/>
        </w:rPr>
        <w:t xml:space="preserve">-a </w:t>
      </w:r>
      <w:proofErr w:type="spellStart"/>
      <w:r w:rsidRPr="00071E16">
        <w:rPr>
          <w:rFonts w:ascii="Times New Roman" w:eastAsia="Times New Roman" w:hAnsi="Times New Roman" w:cs="Times New Roman"/>
          <w:sz w:val="24"/>
          <w:szCs w:val="24"/>
          <w:lang w:val="ro-RO"/>
        </w:rPr>
        <w:t>desfăşurat</w:t>
      </w:r>
      <w:proofErr w:type="spellEnd"/>
      <w:r w:rsidRPr="00071E16">
        <w:rPr>
          <w:rFonts w:ascii="Times New Roman" w:eastAsia="Times New Roman" w:hAnsi="Times New Roman" w:cs="Times New Roman"/>
          <w:sz w:val="24"/>
          <w:szCs w:val="24"/>
          <w:lang w:val="ro-RO"/>
        </w:rPr>
        <w:t xml:space="preserve"> lucrările în ziua de </w:t>
      </w:r>
      <w:r w:rsidR="00C70F83">
        <w:rPr>
          <w:rFonts w:ascii="Times New Roman" w:eastAsia="Times New Roman" w:hAnsi="Times New Roman" w:cs="Times New Roman"/>
          <w:sz w:val="24"/>
          <w:szCs w:val="24"/>
          <w:lang w:val="ro-RO"/>
        </w:rPr>
        <w:t>19</w:t>
      </w:r>
      <w:r w:rsidRPr="00071E16">
        <w:rPr>
          <w:rFonts w:ascii="Times New Roman" w:eastAsia="Times New Roman" w:hAnsi="Times New Roman" w:cs="Times New Roman"/>
          <w:sz w:val="24"/>
          <w:szCs w:val="24"/>
          <w:lang w:val="ro-RO"/>
        </w:rPr>
        <w:t xml:space="preserve"> </w:t>
      </w:r>
      <w:r w:rsidR="00C70F83">
        <w:rPr>
          <w:rFonts w:ascii="Times New Roman" w:eastAsia="Times New Roman" w:hAnsi="Times New Roman" w:cs="Times New Roman"/>
          <w:sz w:val="24"/>
          <w:szCs w:val="24"/>
          <w:lang w:val="ro-RO"/>
        </w:rPr>
        <w:t>ianua</w:t>
      </w:r>
      <w:r w:rsidR="00C4566A" w:rsidRPr="00071E16">
        <w:rPr>
          <w:rFonts w:ascii="Times New Roman" w:eastAsia="Times New Roman" w:hAnsi="Times New Roman" w:cs="Times New Roman"/>
          <w:sz w:val="24"/>
          <w:szCs w:val="24"/>
          <w:lang w:val="ro-RO"/>
        </w:rPr>
        <w:t>rie</w:t>
      </w:r>
      <w:r w:rsidRPr="00071E16">
        <w:rPr>
          <w:rFonts w:ascii="Times New Roman" w:eastAsia="Times New Roman" w:hAnsi="Times New Roman" w:cs="Times New Roman"/>
          <w:sz w:val="24"/>
          <w:szCs w:val="24"/>
          <w:lang w:val="ro-RO"/>
        </w:rPr>
        <w:t xml:space="preserve"> 202</w:t>
      </w:r>
      <w:r w:rsidR="00C70F83">
        <w:rPr>
          <w:rFonts w:ascii="Times New Roman" w:eastAsia="Times New Roman" w:hAnsi="Times New Roman" w:cs="Times New Roman"/>
          <w:sz w:val="24"/>
          <w:szCs w:val="24"/>
          <w:lang w:val="ro-RO"/>
        </w:rPr>
        <w:t>6</w:t>
      </w:r>
      <w:r w:rsidR="00855956" w:rsidRPr="00071E16">
        <w:rPr>
          <w:rFonts w:ascii="Times New Roman" w:eastAsia="Times New Roman" w:hAnsi="Times New Roman" w:cs="Times New Roman"/>
          <w:sz w:val="24"/>
          <w:szCs w:val="24"/>
          <w:lang w:val="ro-RO"/>
        </w:rPr>
        <w:t>.</w:t>
      </w:r>
    </w:p>
    <w:p w14:paraId="041BE1AA" w14:textId="2A17C1B7" w:rsidR="00DD018D" w:rsidRPr="00071E16" w:rsidRDefault="006A5E33" w:rsidP="00DD018D">
      <w:pPr>
        <w:pStyle w:val="Corp"/>
        <w:tabs>
          <w:tab w:val="left" w:pos="567"/>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Ș</w:t>
      </w:r>
      <w:r w:rsidR="00DD018D" w:rsidRPr="00071E16">
        <w:rPr>
          <w:rFonts w:ascii="Times New Roman" w:eastAsia="Times New Roman" w:hAnsi="Times New Roman" w:cs="Times New Roman"/>
          <w:sz w:val="24"/>
          <w:szCs w:val="24"/>
          <w:lang w:val="ro-RO"/>
        </w:rPr>
        <w:t xml:space="preserve">edința s-a desfășurat în sistem mixt, începând cu ora </w:t>
      </w:r>
      <w:r w:rsidR="00F4108F" w:rsidRPr="00071E16">
        <w:rPr>
          <w:rFonts w:ascii="Times New Roman" w:eastAsia="Times New Roman" w:hAnsi="Times New Roman" w:cs="Times New Roman"/>
          <w:sz w:val="24"/>
          <w:szCs w:val="24"/>
          <w:lang w:val="ro-RO"/>
        </w:rPr>
        <w:t>1</w:t>
      </w:r>
      <w:r w:rsidR="00E7294C">
        <w:rPr>
          <w:rFonts w:ascii="Times New Roman" w:eastAsia="Times New Roman" w:hAnsi="Times New Roman" w:cs="Times New Roman"/>
          <w:sz w:val="24"/>
          <w:szCs w:val="24"/>
          <w:lang w:val="ro-RO"/>
        </w:rPr>
        <w:t>1</w:t>
      </w:r>
      <w:r w:rsidR="00DD018D" w:rsidRPr="00071E16">
        <w:rPr>
          <w:rFonts w:ascii="Times New Roman" w:eastAsia="Times New Roman" w:hAnsi="Times New Roman" w:cs="Times New Roman"/>
          <w:sz w:val="24"/>
          <w:szCs w:val="24"/>
          <w:lang w:val="ro-RO"/>
        </w:rPr>
        <w:t>:</w:t>
      </w:r>
      <w:r w:rsidR="004C2A43" w:rsidRPr="00071E16">
        <w:rPr>
          <w:rFonts w:ascii="Times New Roman" w:eastAsia="Times New Roman" w:hAnsi="Times New Roman" w:cs="Times New Roman"/>
          <w:sz w:val="24"/>
          <w:szCs w:val="24"/>
          <w:lang w:val="ro-RO"/>
        </w:rPr>
        <w:t>0</w:t>
      </w:r>
      <w:r w:rsidR="00DD018D" w:rsidRPr="00071E16">
        <w:rPr>
          <w:rFonts w:ascii="Times New Roman" w:eastAsia="Times New Roman" w:hAnsi="Times New Roman" w:cs="Times New Roman"/>
          <w:sz w:val="24"/>
          <w:szCs w:val="24"/>
          <w:lang w:val="ro-RO"/>
        </w:rPr>
        <w:t>0.</w:t>
      </w:r>
    </w:p>
    <w:p w14:paraId="61137E0C" w14:textId="0734C12D" w:rsidR="001B2D35" w:rsidRPr="00071E16" w:rsidRDefault="00071E16" w:rsidP="001B2D35">
      <w:pPr>
        <w:pStyle w:val="Corp"/>
        <w:tabs>
          <w:tab w:val="left" w:pos="567"/>
        </w:tabs>
        <w:spacing w:before="120" w:after="0" w:line="240" w:lineRule="auto"/>
        <w:jc w:val="both"/>
        <w:rPr>
          <w:rFonts w:ascii="Times New Roman" w:hAnsi="Times New Roman" w:cs="Times New Roman"/>
          <w:sz w:val="24"/>
          <w:szCs w:val="24"/>
          <w:bdr w:val="none" w:sz="0" w:space="0" w:color="auto"/>
          <w:lang w:val="ro-RO"/>
        </w:rPr>
      </w:pPr>
      <w:r w:rsidRPr="00071E16">
        <w:rPr>
          <w:rFonts w:ascii="Times New Roman" w:hAnsi="Times New Roman" w:cs="Times New Roman"/>
          <w:sz w:val="24"/>
          <w:szCs w:val="24"/>
          <w:lang w:val="ro-RO"/>
        </w:rPr>
        <w:t>A</w:t>
      </w:r>
      <w:r w:rsidR="001B2D35" w:rsidRPr="00071E16">
        <w:rPr>
          <w:rFonts w:ascii="Times New Roman" w:hAnsi="Times New Roman" w:cs="Times New Roman"/>
          <w:sz w:val="24"/>
          <w:szCs w:val="24"/>
          <w:lang w:val="ro-RO"/>
        </w:rPr>
        <w:t xml:space="preserve">u participat: </w:t>
      </w:r>
    </w:p>
    <w:p w14:paraId="5B1B69C2" w14:textId="77777777" w:rsidR="00E7294C" w:rsidRPr="00615608" w:rsidRDefault="00E7294C" w:rsidP="00E7294C">
      <w:pPr>
        <w:pStyle w:val="Corp"/>
        <w:tabs>
          <w:tab w:val="left" w:pos="567"/>
        </w:tabs>
        <w:spacing w:before="120"/>
        <w:jc w:val="both"/>
        <w:rPr>
          <w:rFonts w:ascii="Times New Roman" w:hAnsi="Times New Roman" w:cs="Times New Roman"/>
          <w:sz w:val="24"/>
          <w:szCs w:val="24"/>
          <w:lang w:val="ro-RO"/>
        </w:rPr>
      </w:pPr>
      <w:bookmarkStart w:id="0" w:name="_Hlk210739345"/>
      <w:r w:rsidRPr="00615608">
        <w:rPr>
          <w:rFonts w:ascii="Times New Roman" w:hAnsi="Times New Roman" w:cs="Times New Roman"/>
          <w:sz w:val="24"/>
          <w:szCs w:val="24"/>
          <w:lang w:val="ro-RO"/>
        </w:rPr>
        <w:t xml:space="preserve">În format fizic: </w:t>
      </w:r>
      <w:bookmarkStart w:id="1" w:name="_Hlk211872161"/>
      <w:r>
        <w:rPr>
          <w:rFonts w:ascii="Times New Roman" w:hAnsi="Times New Roman" w:cs="Times New Roman"/>
          <w:sz w:val="24"/>
          <w:szCs w:val="24"/>
          <w:lang w:val="ro-RO"/>
        </w:rPr>
        <w:t xml:space="preserve">dl. </w:t>
      </w:r>
      <w:r>
        <w:rPr>
          <w:rFonts w:ascii="Times New Roman" w:hAnsi="Times New Roman" w:cs="Times New Roman"/>
          <w:color w:val="auto"/>
          <w:sz w:val="24"/>
          <w:szCs w:val="24"/>
          <w:lang w:val="ro-RO"/>
        </w:rPr>
        <w:t xml:space="preserve">senator  Titus </w:t>
      </w:r>
      <w:proofErr w:type="spellStart"/>
      <w:r>
        <w:rPr>
          <w:rFonts w:ascii="Times New Roman" w:hAnsi="Times New Roman" w:cs="Times New Roman"/>
          <w:color w:val="auto"/>
          <w:sz w:val="24"/>
          <w:szCs w:val="24"/>
          <w:lang w:val="ro-RO"/>
        </w:rPr>
        <w:t>Corlăţean</w:t>
      </w:r>
      <w:proofErr w:type="spellEnd"/>
      <w:r>
        <w:rPr>
          <w:rFonts w:ascii="Times New Roman" w:hAnsi="Times New Roman" w:cs="Times New Roman"/>
          <w:color w:val="auto"/>
          <w:sz w:val="24"/>
          <w:szCs w:val="24"/>
          <w:lang w:val="ro-RO"/>
        </w:rPr>
        <w:t xml:space="preserve"> – președinte, dl. senator Adrian Streinu Cercel, dna. senator Carmen Orban, dl. senator George-Cătălin Bochileanu;</w:t>
      </w:r>
      <w:r w:rsidRPr="00835519">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senator Simona Spătaru</w:t>
      </w:r>
      <w:bookmarkEnd w:id="1"/>
      <w:r>
        <w:rPr>
          <w:rFonts w:ascii="Times New Roman" w:hAnsi="Times New Roman" w:cs="Times New Roman"/>
          <w:color w:val="auto"/>
          <w:sz w:val="24"/>
          <w:szCs w:val="24"/>
          <w:lang w:val="ro-RO"/>
        </w:rPr>
        <w:t>.</w:t>
      </w:r>
    </w:p>
    <w:p w14:paraId="45B52E8A" w14:textId="77777777" w:rsidR="00E7294C" w:rsidRPr="00E07285" w:rsidRDefault="00E7294C" w:rsidP="00E7294C">
      <w:pPr>
        <w:pStyle w:val="Corp"/>
        <w:tabs>
          <w:tab w:val="left" w:pos="567"/>
        </w:tabs>
        <w:spacing w:before="120" w:after="0" w:line="240" w:lineRule="auto"/>
        <w:jc w:val="both"/>
        <w:rPr>
          <w:rFonts w:ascii="Times New Roman" w:hAnsi="Times New Roman" w:cs="Times New Roman"/>
          <w:sz w:val="24"/>
          <w:szCs w:val="24"/>
          <w:lang w:val="ro-RO"/>
        </w:rPr>
      </w:pPr>
      <w:r w:rsidRPr="00615608">
        <w:rPr>
          <w:rFonts w:ascii="Times New Roman" w:hAnsi="Times New Roman" w:cs="Times New Roman"/>
          <w:sz w:val="24"/>
          <w:szCs w:val="24"/>
          <w:lang w:val="ro-RO"/>
        </w:rPr>
        <w:t xml:space="preserve">În format online: </w:t>
      </w:r>
      <w:r>
        <w:rPr>
          <w:rFonts w:ascii="Times New Roman" w:hAnsi="Times New Roman" w:cs="Times New Roman"/>
          <w:color w:val="auto"/>
          <w:sz w:val="24"/>
          <w:szCs w:val="24"/>
          <w:lang w:val="ro-RO"/>
        </w:rPr>
        <w:t>dl. senator Clement Sava – secretar, dl. senator Robert Cazanciuc, dl. senator Eugen Dogariu; dl. senator Novak Levente.</w:t>
      </w:r>
    </w:p>
    <w:bookmarkEnd w:id="0"/>
    <w:p w14:paraId="3D9ECD0C" w14:textId="046D6DA0" w:rsidR="00842797" w:rsidRPr="00071E16" w:rsidRDefault="004C2A43"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 xml:space="preserve">Ședința a fost condusă de dl. senator  Titus </w:t>
      </w:r>
      <w:proofErr w:type="spellStart"/>
      <w:r w:rsidRPr="00071E16">
        <w:rPr>
          <w:rFonts w:ascii="Times New Roman" w:hAnsi="Times New Roman" w:cs="Times New Roman"/>
          <w:color w:val="auto"/>
          <w:sz w:val="24"/>
          <w:szCs w:val="24"/>
          <w:lang w:val="ro-RO"/>
        </w:rPr>
        <w:t>Corlăţean</w:t>
      </w:r>
      <w:proofErr w:type="spellEnd"/>
      <w:r w:rsidRPr="00071E16">
        <w:rPr>
          <w:rFonts w:ascii="Times New Roman" w:hAnsi="Times New Roman" w:cs="Times New Roman"/>
          <w:color w:val="auto"/>
          <w:sz w:val="24"/>
          <w:szCs w:val="24"/>
          <w:lang w:val="ro-RO"/>
        </w:rPr>
        <w:t>, președintele Comisiei.</w:t>
      </w:r>
    </w:p>
    <w:p w14:paraId="061B9BE3" w14:textId="105727A0" w:rsidR="00DD018D" w:rsidRPr="00071E16"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ab/>
        <w:t>Ordinea de zi a cuprins:</w:t>
      </w:r>
    </w:p>
    <w:p w14:paraId="3B9493A5" w14:textId="312E20E7" w:rsidR="00A150B7" w:rsidRPr="00071E16" w:rsidRDefault="00D92DE7" w:rsidP="00DD018D">
      <w:pPr>
        <w:pStyle w:val="Corp"/>
        <w:tabs>
          <w:tab w:val="left" w:pos="567"/>
        </w:tabs>
        <w:spacing w:before="1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w:t>
      </w:r>
      <w:r w:rsidR="00A150B7" w:rsidRPr="00071E16">
        <w:rPr>
          <w:rFonts w:ascii="Times New Roman" w:hAnsi="Times New Roman" w:cs="Times New Roman"/>
          <w:color w:val="auto"/>
          <w:sz w:val="24"/>
          <w:szCs w:val="24"/>
          <w:lang w:val="ro-RO"/>
        </w:rPr>
        <w:t>. Comunicări europene aflate în portofoliul comisiei pentru dezbatere în fond;</w:t>
      </w:r>
    </w:p>
    <w:p w14:paraId="32CB52EB" w14:textId="0E292A59" w:rsidR="00DD018D" w:rsidRPr="00071E16" w:rsidRDefault="00D92DE7" w:rsidP="00DD018D">
      <w:pPr>
        <w:pStyle w:val="Corp"/>
        <w:tabs>
          <w:tab w:val="left" w:pos="567"/>
        </w:tabs>
        <w:spacing w:before="120"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w:t>
      </w:r>
      <w:r w:rsidR="00DD018D" w:rsidRPr="00071E16">
        <w:rPr>
          <w:rFonts w:ascii="Times New Roman" w:hAnsi="Times New Roman" w:cs="Times New Roman"/>
          <w:color w:val="auto"/>
          <w:sz w:val="24"/>
          <w:szCs w:val="24"/>
          <w:lang w:val="ro-RO"/>
        </w:rPr>
        <w:t>. Memorandumuri aferente unor acțiuni parlamentare de relații externe.</w:t>
      </w:r>
    </w:p>
    <w:p w14:paraId="07F5CEEB" w14:textId="639AA0F1" w:rsidR="007E7338" w:rsidRPr="00071E16"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071E16">
        <w:rPr>
          <w:rFonts w:ascii="Times New Roman" w:hAnsi="Times New Roman" w:cs="Times New Roman"/>
          <w:sz w:val="24"/>
          <w:szCs w:val="24"/>
          <w:lang w:val="ro-RO"/>
        </w:rPr>
        <w:tab/>
        <w:t>Ordinea de zi a fost adoptată în unanimitate.</w:t>
      </w:r>
      <w:r w:rsidRPr="00071E16">
        <w:rPr>
          <w:rFonts w:ascii="Times New Roman" w:hAnsi="Times New Roman" w:cs="Times New Roman"/>
          <w:b/>
          <w:bCs/>
          <w:sz w:val="24"/>
          <w:szCs w:val="24"/>
          <w:lang w:val="ro-RO"/>
        </w:rPr>
        <w:t xml:space="preserve"> </w:t>
      </w:r>
    </w:p>
    <w:p w14:paraId="3A195CB3" w14:textId="2C7CFEFC" w:rsidR="009C03F3"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bookmarkStart w:id="2" w:name="_Hlk190777578"/>
      <w:r>
        <w:rPr>
          <w:rFonts w:ascii="Times New Roman" w:hAnsi="Times New Roman" w:cs="Times New Roman"/>
          <w:b/>
          <w:bCs/>
          <w:sz w:val="24"/>
          <w:szCs w:val="24"/>
          <w:lang w:val="ro-RO"/>
        </w:rPr>
        <w:t>I</w:t>
      </w:r>
      <w:r>
        <w:rPr>
          <w:rFonts w:ascii="Times New Roman" w:hAnsi="Times New Roman" w:cs="Times New Roman"/>
          <w:b/>
          <w:bCs/>
          <w:sz w:val="24"/>
          <w:szCs w:val="24"/>
          <w:lang w:val="ro-RO"/>
        </w:rPr>
        <w:tab/>
      </w:r>
      <w:r w:rsidR="00D92DE7">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Au fost dezbătute următoarele</w:t>
      </w:r>
      <w:r w:rsidR="00F12E92" w:rsidRPr="00071E16">
        <w:rPr>
          <w:rFonts w:ascii="Times New Roman" w:hAnsi="Times New Roman" w:cs="Times New Roman"/>
          <w:sz w:val="24"/>
          <w:szCs w:val="24"/>
          <w:lang w:val="ro-RO"/>
        </w:rPr>
        <w:t xml:space="preserve"> </w:t>
      </w:r>
      <w:r w:rsidR="009C03F3" w:rsidRPr="00071E16">
        <w:rPr>
          <w:rFonts w:ascii="Times New Roman" w:hAnsi="Times New Roman" w:cs="Times New Roman"/>
          <w:b/>
          <w:bCs/>
          <w:sz w:val="24"/>
          <w:szCs w:val="24"/>
          <w:lang w:val="ro-RO"/>
        </w:rPr>
        <w:t>C</w:t>
      </w:r>
      <w:r w:rsidR="00F12E92" w:rsidRPr="00071E16">
        <w:rPr>
          <w:rFonts w:ascii="Times New Roman" w:hAnsi="Times New Roman" w:cs="Times New Roman"/>
          <w:b/>
          <w:bCs/>
          <w:sz w:val="24"/>
          <w:szCs w:val="24"/>
          <w:lang w:val="ro-RO"/>
        </w:rPr>
        <w:t>omunicări</w:t>
      </w:r>
      <w:r w:rsidR="009C03F3" w:rsidRPr="00071E16">
        <w:rPr>
          <w:rFonts w:ascii="Times New Roman" w:hAnsi="Times New Roman" w:cs="Times New Roman"/>
          <w:b/>
          <w:bCs/>
          <w:sz w:val="24"/>
          <w:szCs w:val="24"/>
          <w:lang w:val="ro-RO"/>
        </w:rPr>
        <w:t xml:space="preserve"> europene</w:t>
      </w:r>
      <w:r w:rsidR="00F12E92" w:rsidRPr="00071E16">
        <w:rPr>
          <w:rFonts w:ascii="Times New Roman" w:hAnsi="Times New Roman" w:cs="Times New Roman"/>
          <w:b/>
          <w:bCs/>
          <w:sz w:val="24"/>
          <w:szCs w:val="24"/>
          <w:lang w:val="ro-RO"/>
        </w:rPr>
        <w:t>:</w:t>
      </w:r>
    </w:p>
    <w:p w14:paraId="50B2461F" w14:textId="24FE4033" w:rsidR="00AE23EA" w:rsidRPr="00071E16" w:rsidRDefault="00AE23EA" w:rsidP="00AE23EA">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 xml:space="preserve">COM (2025) </w:t>
      </w:r>
      <w:r w:rsidR="00C70F83">
        <w:rPr>
          <w:rFonts w:ascii="Times New Roman" w:eastAsia="Times New Roman" w:hAnsi="Times New Roman" w:cs="Times New Roman"/>
          <w:b/>
          <w:bCs/>
          <w:sz w:val="24"/>
          <w:szCs w:val="24"/>
          <w:lang w:val="ro-RO"/>
        </w:rPr>
        <w:t>690</w:t>
      </w:r>
      <w:r w:rsidRPr="00071E16">
        <w:rPr>
          <w:rFonts w:ascii="Times New Roman" w:eastAsia="Times New Roman" w:hAnsi="Times New Roman" w:cs="Times New Roman"/>
          <w:b/>
          <w:bCs/>
          <w:sz w:val="24"/>
          <w:szCs w:val="24"/>
          <w:lang w:val="ro-RO"/>
        </w:rPr>
        <w:t xml:space="preserve"> final - </w:t>
      </w:r>
      <w:r w:rsidR="00742EAF" w:rsidRPr="00742EAF">
        <w:rPr>
          <w:rFonts w:ascii="Times New Roman" w:eastAsia="Times New Roman" w:hAnsi="Times New Roman" w:cs="Times New Roman"/>
          <w:b/>
          <w:bCs/>
          <w:sz w:val="24"/>
          <w:szCs w:val="24"/>
          <w:lang w:val="ro-RO"/>
        </w:rPr>
        <w:t>Comunicare a Comisiei către Parlamentul European, Consiliu, Comitetul Economic și Social European și Comitetul Regiunilor – Comunicarea din 2025 privind politica de extindere a UE</w:t>
      </w:r>
      <w:r w:rsidR="00742EAF">
        <w:rPr>
          <w:rFonts w:ascii="Times New Roman" w:eastAsia="Times New Roman" w:hAnsi="Times New Roman" w:cs="Times New Roman"/>
          <w:b/>
          <w:bCs/>
          <w:sz w:val="24"/>
          <w:szCs w:val="24"/>
          <w:lang w:val="ro-RO"/>
        </w:rPr>
        <w:t>.</w:t>
      </w:r>
    </w:p>
    <w:p w14:paraId="025B919B" w14:textId="77777777" w:rsidR="005C4F7A" w:rsidRPr="005C4F7A" w:rsidRDefault="00F4108F" w:rsidP="005C4F7A">
      <w:pPr>
        <w:pStyle w:val="Corp"/>
        <w:spacing w:before="120" w:after="0"/>
        <w:ind w:firstLine="72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 xml:space="preserve">Obiectivele propunerii: </w:t>
      </w:r>
      <w:r w:rsidR="005C4F7A" w:rsidRPr="005C4F7A">
        <w:rPr>
          <w:rFonts w:ascii="Times New Roman" w:hAnsi="Times New Roman" w:cs="Times New Roman"/>
          <w:sz w:val="24"/>
          <w:szCs w:val="24"/>
          <w:lang w:val="ro-RO"/>
        </w:rPr>
        <w:t xml:space="preserve">Provocările geopolitice din ultimii ani au consolidat unitatea de scop a Europei, întărind convingerea că Europa trebuie să facă mult mai mult pentru a-și proteja propria securitate și prosperitate. </w:t>
      </w:r>
    </w:p>
    <w:p w14:paraId="0DEDAB0C" w14:textId="77777777" w:rsidR="005C4F7A" w:rsidRPr="005C4F7A" w:rsidRDefault="005C4F7A" w:rsidP="005C4F7A">
      <w:pPr>
        <w:pStyle w:val="Corp"/>
        <w:spacing w:before="120" w:after="0"/>
        <w:ind w:firstLine="720"/>
        <w:jc w:val="both"/>
        <w:rPr>
          <w:rFonts w:ascii="Times New Roman" w:hAnsi="Times New Roman" w:cs="Times New Roman"/>
          <w:sz w:val="24"/>
          <w:szCs w:val="24"/>
          <w:lang w:val="ro-RO"/>
        </w:rPr>
      </w:pPr>
      <w:r w:rsidRPr="005C4F7A">
        <w:rPr>
          <w:rFonts w:ascii="Times New Roman" w:hAnsi="Times New Roman" w:cs="Times New Roman"/>
          <w:sz w:val="24"/>
          <w:szCs w:val="24"/>
          <w:lang w:val="ro-RO"/>
        </w:rPr>
        <w:t xml:space="preserve">Documentul subliniază faptul că extinderea este o investiție geostrategică pentru o </w:t>
      </w:r>
      <w:proofErr w:type="spellStart"/>
      <w:r w:rsidRPr="005C4F7A">
        <w:rPr>
          <w:rFonts w:ascii="Times New Roman" w:hAnsi="Times New Roman" w:cs="Times New Roman"/>
          <w:sz w:val="24"/>
          <w:szCs w:val="24"/>
          <w:lang w:val="ro-RO"/>
        </w:rPr>
        <w:t>Europă</w:t>
      </w:r>
      <w:proofErr w:type="spellEnd"/>
      <w:r w:rsidRPr="005C4F7A">
        <w:rPr>
          <w:rFonts w:ascii="Times New Roman" w:hAnsi="Times New Roman" w:cs="Times New Roman"/>
          <w:sz w:val="24"/>
          <w:szCs w:val="24"/>
          <w:lang w:val="ro-RO"/>
        </w:rPr>
        <w:t xml:space="preserve"> mai puternică și mai stabilă, deși procesul rămâne strict și bazat pe merite, cerând reforme profunde țărilor candidate. Comunicarea detaliază progresele și regresele fiecărei țări candidate (incluzând Ucraina, Republica Moldova, Serbia, Turcia și Georgia) pe calea aderării, cu un accent deosebit pe elementele fundamentale precum statul de drept, drepturile fundamentale și reforma administrației publice. De asemenea, sunt prezentate instrumente financiare și politici, cum ar fi </w:t>
      </w:r>
      <w:r w:rsidRPr="005C4F7A">
        <w:rPr>
          <w:rFonts w:ascii="Times New Roman" w:hAnsi="Times New Roman" w:cs="Times New Roman"/>
          <w:sz w:val="24"/>
          <w:szCs w:val="24"/>
          <w:lang w:val="ro-RO"/>
        </w:rPr>
        <w:lastRenderedPageBreak/>
        <w:t>Planurile de creștere și integrarea treptată, menite să sprijine convergența economică și socială a țărilor în curs de aderare la UE.</w:t>
      </w:r>
    </w:p>
    <w:p w14:paraId="18789F7B" w14:textId="71C7A6A1" w:rsidR="00F4108F" w:rsidRPr="00071E16" w:rsidRDefault="005C4F7A" w:rsidP="005C4F7A">
      <w:pPr>
        <w:pStyle w:val="Corp"/>
        <w:spacing w:before="120" w:after="0"/>
        <w:ind w:firstLine="720"/>
        <w:jc w:val="both"/>
        <w:rPr>
          <w:rFonts w:ascii="Times New Roman" w:hAnsi="Times New Roman" w:cs="Times New Roman"/>
          <w:sz w:val="24"/>
          <w:szCs w:val="24"/>
          <w:lang w:val="ro-RO"/>
        </w:rPr>
      </w:pPr>
      <w:r w:rsidRPr="005C4F7A">
        <w:rPr>
          <w:rFonts w:ascii="Times New Roman" w:hAnsi="Times New Roman" w:cs="Times New Roman"/>
          <w:sz w:val="24"/>
          <w:szCs w:val="24"/>
          <w:lang w:val="ro-RO"/>
        </w:rPr>
        <w:t>Procesul de extindere rămâne strict, echitabil și bazat pe merite, pe baza progreselor obiective realizate de fiecare țară implicată în procesul de aderare. Impulsul reînnoit pentru extindere este însoțit de așteptări ridicate în ceea ce privește reformele. Țările candidate trebuie să realizeze reforme exigente și durabile, asigurând o transformare permanentă a economiilor, instituțiilor, sistemelor democratice și societăților lor pentru a se adapta pe deplin la standardele și valorile democratice ale Uniunii Europene. Acest lucru trebuie susținut de respectarea statului de drept și a drepturilor fundamentale și de aderarea clară la orientarea geopolitică a UE. Pentru a realiza acest lucru, conducerea țărilor implicate în procesul de aderare trebuie să adopte schimbări transformatoare, să consolideze încrederea și să promoveze consensul la nivelul întregii societăți.</w:t>
      </w:r>
      <w:r w:rsidR="006B20C8" w:rsidRPr="006B20C8">
        <w:rPr>
          <w:rFonts w:ascii="Times New Roman" w:hAnsi="Times New Roman" w:cs="Times New Roman"/>
          <w:sz w:val="24"/>
          <w:szCs w:val="24"/>
          <w:lang w:val="ro-RO"/>
        </w:rPr>
        <w:t>.</w:t>
      </w:r>
    </w:p>
    <w:p w14:paraId="50B9BEAA" w14:textId="2D2C3562" w:rsidR="00F4108F" w:rsidRPr="00071E16" w:rsidRDefault="00F4108F" w:rsidP="00F4108F">
      <w:pPr>
        <w:pStyle w:val="Corp"/>
        <w:spacing w:before="120" w:after="0" w:line="240" w:lineRule="auto"/>
        <w:ind w:firstLine="720"/>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7E07DF6E" w14:textId="5E745B82" w:rsidR="00F4108F" w:rsidRPr="00071E16" w:rsidRDefault="00AE23EA" w:rsidP="00F4108F">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 xml:space="preserve">COM (2025) </w:t>
      </w:r>
      <w:r w:rsidR="00C70F83">
        <w:rPr>
          <w:rFonts w:ascii="Times New Roman" w:eastAsia="Times New Roman" w:hAnsi="Times New Roman" w:cs="Times New Roman"/>
          <w:b/>
          <w:bCs/>
          <w:sz w:val="24"/>
          <w:szCs w:val="24"/>
          <w:lang w:val="ro-RO"/>
        </w:rPr>
        <w:t>3502</w:t>
      </w:r>
      <w:r w:rsidRPr="00071E16">
        <w:rPr>
          <w:rFonts w:ascii="Times New Roman" w:eastAsia="Times New Roman" w:hAnsi="Times New Roman" w:cs="Times New Roman"/>
          <w:b/>
          <w:bCs/>
          <w:sz w:val="24"/>
          <w:szCs w:val="24"/>
          <w:lang w:val="ro-RO"/>
        </w:rPr>
        <w:t xml:space="preserve"> final - </w:t>
      </w:r>
      <w:r w:rsidR="00742EAF" w:rsidRPr="00742EAF">
        <w:rPr>
          <w:rFonts w:ascii="Times New Roman" w:eastAsia="Times New Roman" w:hAnsi="Times New Roman" w:cs="Times New Roman"/>
          <w:b/>
          <w:bCs/>
          <w:sz w:val="24"/>
          <w:szCs w:val="24"/>
          <w:lang w:val="ro-RO"/>
        </w:rPr>
        <w:t>Propunere de Regulament al Parlamentului European și al Consiliului de instituire a împrumutului asociat reparațiilor pentru Ucraina și de modificare a Regulamentului (UE) 2024/792 al Parlamentului European și al Consiliului din 29 februarie 2024 de instituire a Mecanismului pentru Ucraina</w:t>
      </w:r>
      <w:r w:rsidR="00820C7D">
        <w:rPr>
          <w:rFonts w:ascii="Times New Roman" w:eastAsia="Times New Roman" w:hAnsi="Times New Roman" w:cs="Times New Roman"/>
          <w:b/>
          <w:bCs/>
          <w:sz w:val="24"/>
          <w:szCs w:val="24"/>
          <w:lang w:val="ro-RO"/>
        </w:rPr>
        <w:t>.</w:t>
      </w:r>
    </w:p>
    <w:p w14:paraId="46905E4C" w14:textId="77777777" w:rsidR="005C4F7A" w:rsidRPr="005C4F7A" w:rsidRDefault="00F4108F" w:rsidP="005C4F7A">
      <w:pPr>
        <w:pStyle w:val="Corp"/>
        <w:tabs>
          <w:tab w:val="left" w:pos="720"/>
        </w:tabs>
        <w:spacing w:before="120" w:after="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ab/>
        <w:t>Obiectivele propuneri</w:t>
      </w:r>
      <w:r w:rsidR="00B07D18" w:rsidRPr="00071E16">
        <w:rPr>
          <w:rFonts w:ascii="Times New Roman" w:hAnsi="Times New Roman" w:cs="Times New Roman"/>
          <w:sz w:val="24"/>
          <w:szCs w:val="24"/>
          <w:lang w:val="ro-RO"/>
        </w:rPr>
        <w:t>i</w:t>
      </w:r>
      <w:r w:rsidRPr="00071E16">
        <w:rPr>
          <w:rFonts w:ascii="Times New Roman" w:hAnsi="Times New Roman" w:cs="Times New Roman"/>
          <w:sz w:val="24"/>
          <w:szCs w:val="24"/>
          <w:lang w:val="ro-RO"/>
        </w:rPr>
        <w:t xml:space="preserve">: </w:t>
      </w:r>
      <w:r w:rsidR="005C4F7A" w:rsidRPr="005C4F7A">
        <w:rPr>
          <w:rFonts w:ascii="Times New Roman" w:hAnsi="Times New Roman" w:cs="Times New Roman"/>
          <w:sz w:val="24"/>
          <w:szCs w:val="24"/>
          <w:lang w:val="ro-RO"/>
        </w:rPr>
        <w:t>Propunerea stabilește un nou instrument financiar denumit „împrumutul asociat reparațiilor” în valoare de până la 210 miliarde EUR, menit să ofere asistență financiară și economică Ucrainei ca răspuns la agresiunea Rusiei. Acest împrumut inovator este conceput pentru a fi rambursat de Ucraina doar după ce primește reparații de război din partea Rusiei, evitând astfel povara datoriei asupra Ucrainei sau a statelor membre. Finanțarea provine din soldurile de numerar blocate ale Băncii Centrale a Rusiei deținute de instituțiile financiare din UE, care urmează să fie transformate în instrumente de datorie garantate de statele membre. Obiectivul specific este dublu: sprijinirea stabilității macrofinanciare a Ucrainei (inclusiv prin asistență macrofinanciară condiționată) și consolidarea capacităților sale industriale de apărare, inclusiv integrarea lor treptată în baza industrială europeană de apărare. Propunerea include mecanisme detaliate de monitorizare, raportare și combatere a fraudei, precum și o clauză de solidaritate pentru a proteja statele membre împotriva eventualelor litigii legate de activele rusești blocate.</w:t>
      </w:r>
    </w:p>
    <w:p w14:paraId="04EA5752" w14:textId="2B7E5896" w:rsidR="00F4108F" w:rsidRPr="00071E16" w:rsidRDefault="005C4F7A" w:rsidP="005C4F7A">
      <w:pPr>
        <w:pStyle w:val="Corp"/>
        <w:tabs>
          <w:tab w:val="left" w:pos="720"/>
        </w:tabs>
        <w:spacing w:before="120" w:after="0"/>
        <w:jc w:val="both"/>
        <w:rPr>
          <w:rFonts w:ascii="Times New Roman" w:hAnsi="Times New Roman" w:cs="Times New Roman"/>
          <w:sz w:val="24"/>
          <w:szCs w:val="24"/>
          <w:lang w:val="ro-RO"/>
        </w:rPr>
      </w:pPr>
      <w:r w:rsidRPr="005C4F7A">
        <w:rPr>
          <w:rFonts w:ascii="Times New Roman" w:hAnsi="Times New Roman" w:cs="Times New Roman"/>
          <w:sz w:val="24"/>
          <w:szCs w:val="24"/>
          <w:lang w:val="ro-RO"/>
        </w:rPr>
        <w:tab/>
        <w:t xml:space="preserve">Invadarea pe scară largă a Ucrainei de către Rusia, care a început la 24 februarie 2022, a avut un impact profund dăunător asupra țării și a cetățenilor săi. În pofida eforturilor diplomatice ale SUA și ale Europei de a ajunge la o soluționare pașnică și a disponibilității Ucrainei de a se angaja într-un dialog pentru a pune capăt războiului, Rusia și-a intensificat atacurile asupra Ucrainei, vizând în mod deliberat civilii și infrastructurile critice. Această escaladare a exacerbat și mai mult criza umanitară, a cauzat suferințe imense poporului ucrainean și a crescut costurile umane și financiare colosale ale acestei agresiuni militare neprovocate și nejustificate. Războiul ilegal de agresiune al Rusiei este o încălcare flagrantă a integrității teritoriale, a suveranității și a independenței Ucrainei, precum și o încălcare a interdicției de utilizare a forței, consacrată la </w:t>
      </w:r>
      <w:r w:rsidRPr="005C4F7A">
        <w:rPr>
          <w:rFonts w:ascii="Times New Roman" w:hAnsi="Times New Roman" w:cs="Times New Roman"/>
          <w:sz w:val="24"/>
          <w:szCs w:val="24"/>
          <w:lang w:val="ro-RO"/>
        </w:rPr>
        <w:lastRenderedPageBreak/>
        <w:t>articolul 2 alineatul (4) din Carta Organizației Națiunilor Unite (ONU) și reprezentând o normă imperativă a dreptului internațional, precum și a celorlalte principii ale Cartei ONU. Hotărârea de neclintit și curajul de care au dat dovadă ucrainenii în apărarea patriei lor sunt o dovadă a forței lor și merită admirație și apreciere profundă.</w:t>
      </w:r>
      <w:r w:rsidR="00820C7D">
        <w:rPr>
          <w:rFonts w:ascii="Times New Roman" w:hAnsi="Times New Roman" w:cs="Times New Roman"/>
          <w:sz w:val="24"/>
          <w:szCs w:val="24"/>
          <w:lang w:val="ro-RO"/>
        </w:rPr>
        <w:tab/>
      </w:r>
      <w:r w:rsidR="00820C7D" w:rsidRPr="00820C7D">
        <w:rPr>
          <w:rFonts w:ascii="Times New Roman" w:hAnsi="Times New Roman" w:cs="Times New Roman"/>
          <w:sz w:val="24"/>
          <w:szCs w:val="24"/>
          <w:lang w:val="ro-RO"/>
        </w:rPr>
        <w:t>Comisia Europeană propune alocarea unei sume indicative de 999 milioane EUR (la prețuri curente) pentru programul de finanțare al asocierii pentru perioada 2028-2034.</w:t>
      </w:r>
    </w:p>
    <w:p w14:paraId="63BBD0F2" w14:textId="02883879" w:rsidR="00F4108F" w:rsidRPr="00071E16" w:rsidRDefault="00F4108F" w:rsidP="00F4108F">
      <w:pPr>
        <w:pStyle w:val="Corp"/>
        <w:tabs>
          <w:tab w:val="left" w:pos="567"/>
        </w:tabs>
        <w:spacing w:before="120" w:after="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ab/>
      </w:r>
      <w:r w:rsidRPr="00071E16">
        <w:rPr>
          <w:rFonts w:ascii="Times New Roman" w:hAnsi="Times New Roman" w:cs="Times New Roman"/>
          <w:sz w:val="24"/>
          <w:szCs w:val="24"/>
          <w:lang w:val="ro-RO"/>
        </w:rPr>
        <w:tab/>
      </w:r>
      <w:r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31D1987E" w14:textId="5038B3AA" w:rsidR="00AE23EA" w:rsidRPr="00071E16" w:rsidRDefault="00C70F83" w:rsidP="00656D0B">
      <w:pPr>
        <w:pStyle w:val="Corp"/>
        <w:numPr>
          <w:ilvl w:val="0"/>
          <w:numId w:val="20"/>
        </w:numPr>
        <w:spacing w:before="12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COM</w:t>
      </w:r>
      <w:r w:rsidR="00AE23EA" w:rsidRPr="00071E16">
        <w:rPr>
          <w:rFonts w:ascii="Times New Roman" w:eastAsia="Times New Roman" w:hAnsi="Times New Roman" w:cs="Times New Roman"/>
          <w:b/>
          <w:bCs/>
          <w:sz w:val="24"/>
          <w:szCs w:val="24"/>
          <w:lang w:val="ro-RO"/>
        </w:rPr>
        <w:t xml:space="preserve"> (2025) </w:t>
      </w:r>
      <w:r>
        <w:rPr>
          <w:rFonts w:ascii="Times New Roman" w:eastAsia="Times New Roman" w:hAnsi="Times New Roman" w:cs="Times New Roman"/>
          <w:b/>
          <w:bCs/>
          <w:sz w:val="24"/>
          <w:szCs w:val="24"/>
          <w:lang w:val="ro-RO"/>
        </w:rPr>
        <w:t>3501</w:t>
      </w:r>
      <w:r w:rsidR="00AE23EA" w:rsidRPr="00071E16">
        <w:rPr>
          <w:rFonts w:ascii="Times New Roman" w:eastAsia="Times New Roman" w:hAnsi="Times New Roman" w:cs="Times New Roman"/>
          <w:b/>
          <w:bCs/>
          <w:sz w:val="24"/>
          <w:szCs w:val="24"/>
          <w:lang w:val="ro-RO"/>
        </w:rPr>
        <w:t xml:space="preserve"> final - </w:t>
      </w:r>
      <w:r w:rsidR="00742EAF" w:rsidRPr="00742EAF">
        <w:rPr>
          <w:rFonts w:ascii="Times New Roman" w:eastAsia="Times New Roman" w:hAnsi="Times New Roman" w:cs="Times New Roman"/>
          <w:b/>
          <w:bCs/>
          <w:sz w:val="24"/>
          <w:szCs w:val="24"/>
          <w:lang w:val="ro-RO"/>
        </w:rPr>
        <w:t>Propunere de Regulament al Consiliului privind măsurile de urgență pentru abordarea dificultăților economice grave cauzate de acțiunile Rusiei în contextul războiului din Ucraina</w:t>
      </w:r>
      <w:r w:rsidR="008F5A63" w:rsidRPr="00071E16">
        <w:rPr>
          <w:rFonts w:ascii="Times New Roman" w:eastAsia="Times New Roman" w:hAnsi="Times New Roman" w:cs="Times New Roman"/>
          <w:b/>
          <w:bCs/>
          <w:sz w:val="24"/>
          <w:szCs w:val="24"/>
          <w:lang w:val="ro-RO"/>
        </w:rPr>
        <w:t>.</w:t>
      </w:r>
    </w:p>
    <w:p w14:paraId="53D71EBA" w14:textId="77777777" w:rsidR="005C4F7A" w:rsidRPr="005C4F7A" w:rsidRDefault="008F1723" w:rsidP="005C4F7A">
      <w:pPr>
        <w:autoSpaceDE w:val="0"/>
        <w:autoSpaceDN w:val="0"/>
        <w:adjustRightInd w:val="0"/>
        <w:contextualSpacing/>
        <w:jc w:val="both"/>
        <w:rPr>
          <w:rFonts w:ascii="Cambria" w:eastAsia="Calibri" w:hAnsi="Cambria"/>
          <w:bdr w:val="none" w:sz="0" w:space="0" w:color="auto"/>
          <w:lang w:val="en-GB"/>
        </w:rPr>
      </w:pPr>
      <w:r w:rsidRPr="00071E16">
        <w:rPr>
          <w:lang w:val="ro-RO"/>
        </w:rPr>
        <w:tab/>
      </w:r>
      <w:bookmarkStart w:id="3" w:name="_Hlk209692559"/>
      <w:bookmarkStart w:id="4" w:name="_Hlk209692705"/>
      <w:r w:rsidR="0068595A" w:rsidRPr="00071E16">
        <w:rPr>
          <w:lang w:val="ro-RO"/>
        </w:rPr>
        <w:t>Obiectivele propuneri</w:t>
      </w:r>
      <w:r w:rsidR="00B07D18" w:rsidRPr="00071E16">
        <w:rPr>
          <w:lang w:val="ro-RO"/>
        </w:rPr>
        <w:t>i</w:t>
      </w:r>
      <w:r w:rsidR="0068595A" w:rsidRPr="00071E16">
        <w:rPr>
          <w:lang w:val="ro-RO"/>
        </w:rPr>
        <w:t xml:space="preserve">: </w:t>
      </w:r>
      <w:bookmarkEnd w:id="3"/>
      <w:proofErr w:type="spellStart"/>
      <w:r w:rsidR="005C4F7A" w:rsidRPr="005C4F7A">
        <w:rPr>
          <w:rFonts w:ascii="Cambria" w:eastAsia="Calibri" w:hAnsi="Cambria"/>
          <w:bdr w:val="none" w:sz="0" w:space="0" w:color="auto"/>
          <w:lang w:val="en-GB"/>
        </w:rPr>
        <w:t>Propunerea</w:t>
      </w:r>
      <w:proofErr w:type="spellEnd"/>
      <w:r w:rsidR="005C4F7A" w:rsidRPr="005C4F7A">
        <w:rPr>
          <w:rFonts w:ascii="Cambria" w:eastAsia="Calibri" w:hAnsi="Cambria"/>
          <w:bdr w:val="none" w:sz="0" w:space="0" w:color="auto"/>
          <w:lang w:val="en-GB"/>
        </w:rPr>
        <w:t xml:space="preserve"> de </w:t>
      </w:r>
      <w:proofErr w:type="spellStart"/>
      <w:r w:rsidR="005C4F7A" w:rsidRPr="005C4F7A">
        <w:rPr>
          <w:rFonts w:ascii="Cambria" w:eastAsia="Calibri" w:hAnsi="Cambria"/>
          <w:bdr w:val="none" w:sz="0" w:space="0" w:color="auto"/>
          <w:lang w:val="en-GB"/>
        </w:rPr>
        <w:t>regulament</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stabilește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măsuri</w:t>
      </w:r>
      <w:proofErr w:type="spellEnd"/>
      <w:r w:rsidR="005C4F7A" w:rsidRPr="005C4F7A">
        <w:rPr>
          <w:rFonts w:ascii="Cambria" w:eastAsia="Calibri" w:hAnsi="Cambria"/>
          <w:bdr w:val="none" w:sz="0" w:space="0" w:color="auto"/>
          <w:lang w:val="en-GB"/>
        </w:rPr>
        <w:t xml:space="preserve"> de </w:t>
      </w:r>
      <w:proofErr w:type="spellStart"/>
      <w:r w:rsidR="005C4F7A" w:rsidRPr="005C4F7A">
        <w:rPr>
          <w:rFonts w:ascii="Cambria" w:eastAsia="Calibri" w:hAnsi="Cambria"/>
          <w:bdr w:val="none" w:sz="0" w:space="0" w:color="auto"/>
          <w:lang w:val="en-GB"/>
        </w:rPr>
        <w:t>urgență</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excepționale</w:t>
      </w:r>
      <w:proofErr w:type="spellEnd"/>
      <w:r w:rsidR="005C4F7A" w:rsidRPr="005C4F7A">
        <w:rPr>
          <w:rFonts w:ascii="Cambria" w:eastAsia="Calibri" w:hAnsi="Cambria"/>
          <w:bdr w:val="none" w:sz="0" w:space="0" w:color="auto"/>
          <w:lang w:val="en-GB"/>
        </w:rPr>
        <w:t xml:space="preserve"> și </w:t>
      </w:r>
      <w:proofErr w:type="spellStart"/>
      <w:r w:rsidR="005C4F7A" w:rsidRPr="005C4F7A">
        <w:rPr>
          <w:rFonts w:ascii="Cambria" w:eastAsia="Calibri" w:hAnsi="Cambria"/>
          <w:bdr w:val="none" w:sz="0" w:space="0" w:color="auto"/>
          <w:lang w:val="en-GB"/>
        </w:rPr>
        <w:t>temporare</w:t>
      </w:r>
      <w:proofErr w:type="spellEnd"/>
      <w:r w:rsidR="005C4F7A" w:rsidRPr="005C4F7A">
        <w:rPr>
          <w:rFonts w:ascii="Cambria" w:eastAsia="Calibri" w:hAnsi="Cambria"/>
          <w:bdr w:val="none" w:sz="0" w:space="0" w:color="auto"/>
          <w:lang w:val="en-GB"/>
        </w:rPr>
        <w:t xml:space="preserve"> pentru a </w:t>
      </w:r>
      <w:proofErr w:type="spellStart"/>
      <w:r w:rsidR="005C4F7A" w:rsidRPr="005C4F7A">
        <w:rPr>
          <w:rFonts w:ascii="Cambria" w:eastAsia="Calibri" w:hAnsi="Cambria"/>
          <w:bdr w:val="none" w:sz="0" w:space="0" w:color="auto"/>
          <w:lang w:val="en-GB"/>
        </w:rPr>
        <w:t>aborda</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dificultățile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economice</w:t>
      </w:r>
      <w:proofErr w:type="spellEnd"/>
      <w:r w:rsidR="005C4F7A" w:rsidRPr="005C4F7A">
        <w:rPr>
          <w:rFonts w:ascii="Cambria" w:eastAsia="Calibri" w:hAnsi="Cambria"/>
          <w:bdr w:val="none" w:sz="0" w:space="0" w:color="auto"/>
          <w:lang w:val="en-GB"/>
        </w:rPr>
        <w:t xml:space="preserve"> grave din </w:t>
      </w:r>
      <w:proofErr w:type="spellStart"/>
      <w:r w:rsidR="005C4F7A" w:rsidRPr="005C4F7A">
        <w:rPr>
          <w:rFonts w:ascii="Cambria" w:eastAsia="Calibri" w:hAnsi="Cambria"/>
          <w:bdr w:val="none" w:sz="0" w:space="0" w:color="auto"/>
          <w:lang w:val="en-GB"/>
        </w:rPr>
        <w:t>Uniune</w:t>
      </w:r>
      <w:proofErr w:type="spellEnd"/>
      <w:r w:rsidR="005C4F7A" w:rsidRPr="005C4F7A">
        <w:rPr>
          <w:rFonts w:ascii="Cambria" w:eastAsia="Calibri" w:hAnsi="Cambria"/>
          <w:bdr w:val="none" w:sz="0" w:space="0" w:color="auto"/>
          <w:lang w:val="en-GB"/>
        </w:rPr>
        <w:t xml:space="preserve">, generate de </w:t>
      </w:r>
      <w:proofErr w:type="spellStart"/>
      <w:r w:rsidR="005C4F7A" w:rsidRPr="005C4F7A">
        <w:rPr>
          <w:rFonts w:ascii="Cambria" w:eastAsia="Calibri" w:hAnsi="Cambria"/>
          <w:bdr w:val="none" w:sz="0" w:space="0" w:color="auto"/>
          <w:lang w:val="en-GB"/>
        </w:rPr>
        <w:t>acțiunile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Rusiei</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în</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contextul</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războiului</w:t>
      </w:r>
      <w:proofErr w:type="spellEnd"/>
      <w:r w:rsidR="005C4F7A" w:rsidRPr="005C4F7A">
        <w:rPr>
          <w:rFonts w:ascii="Cambria" w:eastAsia="Calibri" w:hAnsi="Cambria"/>
          <w:bdr w:val="none" w:sz="0" w:space="0" w:color="auto"/>
          <w:lang w:val="en-GB"/>
        </w:rPr>
        <w:t xml:space="preserve"> din </w:t>
      </w:r>
      <w:proofErr w:type="spellStart"/>
      <w:r w:rsidR="005C4F7A" w:rsidRPr="005C4F7A">
        <w:rPr>
          <w:rFonts w:ascii="Cambria" w:eastAsia="Calibri" w:hAnsi="Cambria"/>
          <w:bdr w:val="none" w:sz="0" w:space="0" w:color="auto"/>
          <w:lang w:val="en-GB"/>
        </w:rPr>
        <w:t>Ucraina</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Propunerea</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urmărește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două</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obiective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principale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în</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primul</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rând</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interzicerea</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transferului</w:t>
      </w:r>
      <w:proofErr w:type="spellEnd"/>
      <w:r w:rsidR="005C4F7A" w:rsidRPr="005C4F7A">
        <w:rPr>
          <w:rFonts w:ascii="Cambria" w:eastAsia="Calibri" w:hAnsi="Cambria"/>
          <w:bdr w:val="none" w:sz="0" w:space="0" w:color="auto"/>
          <w:lang w:val="en-GB"/>
        </w:rPr>
        <w:t xml:space="preserve"> direct </w:t>
      </w:r>
      <w:proofErr w:type="spellStart"/>
      <w:r w:rsidR="005C4F7A" w:rsidRPr="005C4F7A">
        <w:rPr>
          <w:rFonts w:ascii="Cambria" w:eastAsia="Calibri" w:hAnsi="Cambria"/>
          <w:bdr w:val="none" w:sz="0" w:space="0" w:color="auto"/>
          <w:lang w:val="en-GB"/>
        </w:rPr>
        <w:t>sau</w:t>
      </w:r>
      <w:proofErr w:type="spellEnd"/>
      <w:r w:rsidR="005C4F7A" w:rsidRPr="005C4F7A">
        <w:rPr>
          <w:rFonts w:ascii="Cambria" w:eastAsia="Calibri" w:hAnsi="Cambria"/>
          <w:bdr w:val="none" w:sz="0" w:space="0" w:color="auto"/>
          <w:lang w:val="en-GB"/>
        </w:rPr>
        <w:t xml:space="preserve"> indirect de active și </w:t>
      </w:r>
      <w:proofErr w:type="spellStart"/>
      <w:r w:rsidR="005C4F7A" w:rsidRPr="005C4F7A">
        <w:rPr>
          <w:rFonts w:ascii="Cambria" w:eastAsia="Calibri" w:hAnsi="Cambria"/>
          <w:bdr w:val="none" w:sz="0" w:space="0" w:color="auto"/>
          <w:lang w:val="en-GB"/>
        </w:rPr>
        <w:t>rezerve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către</w:t>
      </w:r>
      <w:proofErr w:type="spellEnd"/>
      <w:r w:rsidR="005C4F7A" w:rsidRPr="005C4F7A">
        <w:rPr>
          <w:rFonts w:ascii="Cambria" w:eastAsia="Calibri" w:hAnsi="Cambria"/>
          <w:bdr w:val="none" w:sz="0" w:space="0" w:color="auto"/>
          <w:lang w:val="en-GB"/>
        </w:rPr>
        <w:t xml:space="preserve"> Banca </w:t>
      </w:r>
      <w:proofErr w:type="spellStart"/>
      <w:r w:rsidR="005C4F7A" w:rsidRPr="005C4F7A">
        <w:rPr>
          <w:rFonts w:ascii="Cambria" w:eastAsia="Calibri" w:hAnsi="Cambria"/>
          <w:bdr w:val="none" w:sz="0" w:space="0" w:color="auto"/>
          <w:lang w:val="en-GB"/>
        </w:rPr>
        <w:t>Centrală</w:t>
      </w:r>
      <w:proofErr w:type="spellEnd"/>
      <w:r w:rsidR="005C4F7A" w:rsidRPr="005C4F7A">
        <w:rPr>
          <w:rFonts w:ascii="Cambria" w:eastAsia="Calibri" w:hAnsi="Cambria"/>
          <w:bdr w:val="none" w:sz="0" w:space="0" w:color="auto"/>
          <w:lang w:val="en-GB"/>
        </w:rPr>
        <w:t xml:space="preserve"> a </w:t>
      </w:r>
      <w:proofErr w:type="spellStart"/>
      <w:r w:rsidR="005C4F7A" w:rsidRPr="005C4F7A">
        <w:rPr>
          <w:rFonts w:ascii="Cambria" w:eastAsia="Calibri" w:hAnsi="Cambria"/>
          <w:bdr w:val="none" w:sz="0" w:space="0" w:color="auto"/>
          <w:lang w:val="en-GB"/>
        </w:rPr>
        <w:t>Rusiei</w:t>
      </w:r>
      <w:proofErr w:type="spellEnd"/>
      <w:r w:rsidR="005C4F7A" w:rsidRPr="005C4F7A">
        <w:rPr>
          <w:rFonts w:ascii="Cambria" w:eastAsia="Calibri" w:hAnsi="Cambria"/>
          <w:bdr w:val="none" w:sz="0" w:space="0" w:color="auto"/>
          <w:lang w:val="en-GB"/>
        </w:rPr>
        <w:t xml:space="preserve"> pentru a </w:t>
      </w:r>
      <w:proofErr w:type="spellStart"/>
      <w:r w:rsidR="005C4F7A" w:rsidRPr="005C4F7A">
        <w:rPr>
          <w:rFonts w:ascii="Cambria" w:eastAsia="Calibri" w:hAnsi="Cambria"/>
          <w:bdr w:val="none" w:sz="0" w:space="0" w:color="auto"/>
          <w:lang w:val="en-GB"/>
        </w:rPr>
        <w:t>împiedica</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finanțarea</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efortului</w:t>
      </w:r>
      <w:proofErr w:type="spellEnd"/>
      <w:r w:rsidR="005C4F7A" w:rsidRPr="005C4F7A">
        <w:rPr>
          <w:rFonts w:ascii="Cambria" w:eastAsia="Calibri" w:hAnsi="Cambria"/>
          <w:bdr w:val="none" w:sz="0" w:space="0" w:color="auto"/>
          <w:lang w:val="en-GB"/>
        </w:rPr>
        <w:t xml:space="preserve"> de </w:t>
      </w:r>
      <w:proofErr w:type="spellStart"/>
      <w:r w:rsidR="005C4F7A" w:rsidRPr="005C4F7A">
        <w:rPr>
          <w:rFonts w:ascii="Cambria" w:eastAsia="Calibri" w:hAnsi="Cambria"/>
          <w:bdr w:val="none" w:sz="0" w:space="0" w:color="auto"/>
          <w:lang w:val="en-GB"/>
        </w:rPr>
        <w:t>război</w:t>
      </w:r>
      <w:proofErr w:type="spellEnd"/>
      <w:r w:rsidR="005C4F7A" w:rsidRPr="005C4F7A">
        <w:rPr>
          <w:rFonts w:ascii="Cambria" w:eastAsia="Calibri" w:hAnsi="Cambria"/>
          <w:bdr w:val="none" w:sz="0" w:space="0" w:color="auto"/>
          <w:lang w:val="en-GB"/>
        </w:rPr>
        <w:t xml:space="preserve"> al </w:t>
      </w:r>
      <w:proofErr w:type="spellStart"/>
      <w:r w:rsidR="005C4F7A" w:rsidRPr="005C4F7A">
        <w:rPr>
          <w:rFonts w:ascii="Cambria" w:eastAsia="Calibri" w:hAnsi="Cambria"/>
          <w:bdr w:val="none" w:sz="0" w:space="0" w:color="auto"/>
          <w:lang w:val="en-GB"/>
        </w:rPr>
        <w:t>Rusiei</w:t>
      </w:r>
      <w:proofErr w:type="spellEnd"/>
      <w:r w:rsidR="005C4F7A" w:rsidRPr="005C4F7A">
        <w:rPr>
          <w:rFonts w:ascii="Cambria" w:eastAsia="Calibri" w:hAnsi="Cambria"/>
          <w:bdr w:val="none" w:sz="0" w:space="0" w:color="auto"/>
          <w:lang w:val="en-GB"/>
        </w:rPr>
        <w:t xml:space="preserve"> și a </w:t>
      </w:r>
      <w:proofErr w:type="spellStart"/>
      <w:r w:rsidR="005C4F7A" w:rsidRPr="005C4F7A">
        <w:rPr>
          <w:rFonts w:ascii="Cambria" w:eastAsia="Calibri" w:hAnsi="Cambria"/>
          <w:bdr w:val="none" w:sz="0" w:space="0" w:color="auto"/>
          <w:lang w:val="en-GB"/>
        </w:rPr>
        <w:t>campaniei</w:t>
      </w:r>
      <w:proofErr w:type="spellEnd"/>
      <w:r w:rsidR="005C4F7A" w:rsidRPr="005C4F7A">
        <w:rPr>
          <w:rFonts w:ascii="Cambria" w:eastAsia="Calibri" w:hAnsi="Cambria"/>
          <w:bdr w:val="none" w:sz="0" w:space="0" w:color="auto"/>
          <w:lang w:val="en-GB"/>
        </w:rPr>
        <w:t xml:space="preserve"> sale </w:t>
      </w:r>
      <w:proofErr w:type="spellStart"/>
      <w:r w:rsidR="005C4F7A" w:rsidRPr="005C4F7A">
        <w:rPr>
          <w:rFonts w:ascii="Cambria" w:eastAsia="Calibri" w:hAnsi="Cambria"/>
          <w:bdr w:val="none" w:sz="0" w:space="0" w:color="auto"/>
          <w:lang w:val="en-GB"/>
        </w:rPr>
        <w:t>hibride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în</w:t>
      </w:r>
      <w:proofErr w:type="spellEnd"/>
      <w:r w:rsidR="005C4F7A" w:rsidRPr="005C4F7A">
        <w:rPr>
          <w:rFonts w:ascii="Cambria" w:eastAsia="Calibri" w:hAnsi="Cambria"/>
          <w:bdr w:val="none" w:sz="0" w:space="0" w:color="auto"/>
          <w:lang w:val="en-GB"/>
        </w:rPr>
        <w:t xml:space="preserve"> al </w:t>
      </w:r>
      <w:proofErr w:type="spellStart"/>
      <w:r w:rsidR="005C4F7A" w:rsidRPr="005C4F7A">
        <w:rPr>
          <w:rFonts w:ascii="Cambria" w:eastAsia="Calibri" w:hAnsi="Cambria"/>
          <w:bdr w:val="none" w:sz="0" w:space="0" w:color="auto"/>
          <w:lang w:val="en-GB"/>
        </w:rPr>
        <w:t>doilea</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rând</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utilizarea</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soldurilor</w:t>
      </w:r>
      <w:proofErr w:type="spellEnd"/>
      <w:r w:rsidR="005C4F7A" w:rsidRPr="005C4F7A">
        <w:rPr>
          <w:rFonts w:ascii="Cambria" w:eastAsia="Calibri" w:hAnsi="Cambria"/>
          <w:bdr w:val="none" w:sz="0" w:space="0" w:color="auto"/>
          <w:lang w:val="en-GB"/>
        </w:rPr>
        <w:t xml:space="preserve"> de </w:t>
      </w:r>
      <w:proofErr w:type="spellStart"/>
      <w:r w:rsidR="005C4F7A" w:rsidRPr="005C4F7A">
        <w:rPr>
          <w:rFonts w:ascii="Cambria" w:eastAsia="Calibri" w:hAnsi="Cambria"/>
          <w:bdr w:val="none" w:sz="0" w:space="0" w:color="auto"/>
          <w:lang w:val="en-GB"/>
        </w:rPr>
        <w:t>numerar</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acumulate</w:t>
      </w:r>
      <w:proofErr w:type="spellEnd"/>
      <w:r w:rsidR="005C4F7A" w:rsidRPr="005C4F7A">
        <w:rPr>
          <w:rFonts w:ascii="Cambria" w:eastAsia="Calibri" w:hAnsi="Cambria"/>
          <w:bdr w:val="none" w:sz="0" w:space="0" w:color="auto"/>
          <w:lang w:val="en-GB"/>
        </w:rPr>
        <w:t xml:space="preserve"> ale </w:t>
      </w:r>
      <w:proofErr w:type="spellStart"/>
      <w:r w:rsidR="005C4F7A" w:rsidRPr="005C4F7A">
        <w:rPr>
          <w:rFonts w:ascii="Cambria" w:eastAsia="Calibri" w:hAnsi="Cambria"/>
          <w:bdr w:val="none" w:sz="0" w:space="0" w:color="auto"/>
          <w:lang w:val="en-GB"/>
        </w:rPr>
        <w:t>activelor</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rusești</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deținute</w:t>
      </w:r>
      <w:proofErr w:type="spellEnd"/>
      <w:r w:rsidR="005C4F7A" w:rsidRPr="005C4F7A">
        <w:rPr>
          <w:rFonts w:ascii="Cambria" w:eastAsia="Calibri" w:hAnsi="Cambria"/>
          <w:bdr w:val="none" w:sz="0" w:space="0" w:color="auto"/>
          <w:lang w:val="en-GB"/>
        </w:rPr>
        <w:t xml:space="preserve"> de </w:t>
      </w:r>
      <w:proofErr w:type="spellStart"/>
      <w:r w:rsidR="005C4F7A" w:rsidRPr="005C4F7A">
        <w:rPr>
          <w:rFonts w:ascii="Cambria" w:eastAsia="Calibri" w:hAnsi="Cambria"/>
          <w:bdr w:val="none" w:sz="0" w:space="0" w:color="auto"/>
          <w:lang w:val="en-GB"/>
        </w:rPr>
        <w:t>entități</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financiare</w:t>
      </w:r>
      <w:proofErr w:type="spellEnd"/>
      <w:r w:rsidR="005C4F7A" w:rsidRPr="005C4F7A">
        <w:rPr>
          <w:rFonts w:ascii="Cambria" w:eastAsia="Calibri" w:hAnsi="Cambria"/>
          <w:bdr w:val="none" w:sz="0" w:space="0" w:color="auto"/>
          <w:lang w:val="en-GB"/>
        </w:rPr>
        <w:t xml:space="preserve"> din UE pentru a fi </w:t>
      </w:r>
      <w:proofErr w:type="spellStart"/>
      <w:r w:rsidR="005C4F7A" w:rsidRPr="005C4F7A">
        <w:rPr>
          <w:rFonts w:ascii="Cambria" w:eastAsia="Calibri" w:hAnsi="Cambria"/>
          <w:bdr w:val="none" w:sz="0" w:space="0" w:color="auto"/>
          <w:lang w:val="en-GB"/>
        </w:rPr>
        <w:t>reinvestite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într</w:t>
      </w:r>
      <w:proofErr w:type="spellEnd"/>
      <w:r w:rsidR="005C4F7A" w:rsidRPr="005C4F7A">
        <w:rPr>
          <w:rFonts w:ascii="Cambria" w:eastAsia="Calibri" w:hAnsi="Cambria"/>
          <w:bdr w:val="none" w:sz="0" w:space="0" w:color="auto"/>
          <w:lang w:val="en-GB"/>
        </w:rPr>
        <w:t xml:space="preserve">-un instrument de </w:t>
      </w:r>
      <w:proofErr w:type="spellStart"/>
      <w:r w:rsidR="005C4F7A" w:rsidRPr="005C4F7A">
        <w:rPr>
          <w:rFonts w:ascii="Cambria" w:eastAsia="Calibri" w:hAnsi="Cambria"/>
          <w:bdr w:val="none" w:sz="0" w:space="0" w:color="auto"/>
          <w:lang w:val="en-GB"/>
        </w:rPr>
        <w:t>datorie</w:t>
      </w:r>
      <w:proofErr w:type="spellEnd"/>
      <w:r w:rsidR="005C4F7A" w:rsidRPr="005C4F7A">
        <w:rPr>
          <w:rFonts w:ascii="Cambria" w:eastAsia="Calibri" w:hAnsi="Cambria"/>
          <w:bdr w:val="none" w:sz="0" w:space="0" w:color="auto"/>
          <w:lang w:val="en-GB"/>
        </w:rPr>
        <w:t xml:space="preserve"> al </w:t>
      </w:r>
      <w:proofErr w:type="spellStart"/>
      <w:r w:rsidR="005C4F7A" w:rsidRPr="005C4F7A">
        <w:rPr>
          <w:rFonts w:ascii="Cambria" w:eastAsia="Calibri" w:hAnsi="Cambria"/>
          <w:bdr w:val="none" w:sz="0" w:space="0" w:color="auto"/>
          <w:lang w:val="en-GB"/>
        </w:rPr>
        <w:t>Uniunii</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în</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conformitate</w:t>
      </w:r>
      <w:proofErr w:type="spellEnd"/>
      <w:r w:rsidR="005C4F7A" w:rsidRPr="005C4F7A">
        <w:rPr>
          <w:rFonts w:ascii="Cambria" w:eastAsia="Calibri" w:hAnsi="Cambria"/>
          <w:bdr w:val="none" w:sz="0" w:space="0" w:color="auto"/>
          <w:lang w:val="en-GB"/>
        </w:rPr>
        <w:t xml:space="preserve"> cu o </w:t>
      </w:r>
      <w:proofErr w:type="spellStart"/>
      <w:r w:rsidR="005C4F7A" w:rsidRPr="005C4F7A">
        <w:rPr>
          <w:rFonts w:ascii="Cambria" w:eastAsia="Calibri" w:hAnsi="Cambria"/>
          <w:bdr w:val="none" w:sz="0" w:space="0" w:color="auto"/>
          <w:lang w:val="en-GB"/>
        </w:rPr>
        <w:t>propunere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însoțitoare</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privind</w:t>
      </w:r>
      <w:proofErr w:type="spellEnd"/>
      <w:r w:rsidR="005C4F7A" w:rsidRPr="005C4F7A">
        <w:rPr>
          <w:rFonts w:ascii="Cambria" w:eastAsia="Calibri" w:hAnsi="Cambria"/>
          <w:bdr w:val="none" w:sz="0" w:space="0" w:color="auto"/>
          <w:lang w:val="en-GB"/>
        </w:rPr>
        <w:t xml:space="preserve"> un </w:t>
      </w:r>
      <w:proofErr w:type="spellStart"/>
      <w:r w:rsidR="005C4F7A" w:rsidRPr="005C4F7A">
        <w:rPr>
          <w:rFonts w:ascii="Cambria" w:eastAsia="Calibri" w:hAnsi="Cambria"/>
          <w:bdr w:val="none" w:sz="0" w:space="0" w:color="auto"/>
          <w:lang w:val="en-GB"/>
        </w:rPr>
        <w:t>împrumut</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asociat</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reparațiilor</w:t>
      </w:r>
      <w:proofErr w:type="spellEnd"/>
      <w:r w:rsidR="005C4F7A" w:rsidRPr="005C4F7A">
        <w:rPr>
          <w:rFonts w:ascii="Cambria" w:eastAsia="Calibri" w:hAnsi="Cambria"/>
          <w:bdr w:val="none" w:sz="0" w:space="0" w:color="auto"/>
          <w:lang w:val="en-GB"/>
        </w:rPr>
        <w:t xml:space="preserve"> pentru </w:t>
      </w:r>
      <w:proofErr w:type="spellStart"/>
      <w:r w:rsidR="005C4F7A" w:rsidRPr="005C4F7A">
        <w:rPr>
          <w:rFonts w:ascii="Cambria" w:eastAsia="Calibri" w:hAnsi="Cambria"/>
          <w:bdr w:val="none" w:sz="0" w:space="0" w:color="auto"/>
          <w:lang w:val="en-GB"/>
        </w:rPr>
        <w:t>Ucraina</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respectiv</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Propunerea</w:t>
      </w:r>
      <w:proofErr w:type="spellEnd"/>
      <w:r w:rsidR="005C4F7A" w:rsidRPr="005C4F7A">
        <w:rPr>
          <w:rFonts w:ascii="Cambria" w:eastAsia="Calibri" w:hAnsi="Cambria"/>
          <w:bdr w:val="none" w:sz="0" w:space="0" w:color="auto"/>
          <w:lang w:val="en-GB"/>
        </w:rPr>
        <w:t xml:space="preserve"> de </w:t>
      </w:r>
      <w:proofErr w:type="spellStart"/>
      <w:r w:rsidR="005C4F7A" w:rsidRPr="005C4F7A">
        <w:rPr>
          <w:rFonts w:ascii="Cambria" w:eastAsia="Calibri" w:hAnsi="Cambria"/>
          <w:bdr w:val="none" w:sz="0" w:space="0" w:color="auto"/>
          <w:lang w:val="en-GB"/>
        </w:rPr>
        <w:t>Regulament</w:t>
      </w:r>
      <w:proofErr w:type="spellEnd"/>
      <w:r w:rsidR="005C4F7A" w:rsidRPr="005C4F7A">
        <w:rPr>
          <w:rFonts w:ascii="Cambria" w:eastAsia="Calibri" w:hAnsi="Cambria"/>
          <w:bdr w:val="none" w:sz="0" w:space="0" w:color="auto"/>
          <w:lang w:val="en-GB"/>
        </w:rPr>
        <w:t xml:space="preserve"> al </w:t>
      </w:r>
      <w:proofErr w:type="spellStart"/>
      <w:r w:rsidR="005C4F7A" w:rsidRPr="005C4F7A">
        <w:rPr>
          <w:rFonts w:ascii="Cambria" w:eastAsia="Calibri" w:hAnsi="Cambria"/>
          <w:bdr w:val="none" w:sz="0" w:space="0" w:color="auto"/>
          <w:lang w:val="en-GB"/>
        </w:rPr>
        <w:t>Parlamentului</w:t>
      </w:r>
      <w:proofErr w:type="spellEnd"/>
      <w:r w:rsidR="005C4F7A" w:rsidRPr="005C4F7A">
        <w:rPr>
          <w:rFonts w:ascii="Cambria" w:eastAsia="Calibri" w:hAnsi="Cambria"/>
          <w:bdr w:val="none" w:sz="0" w:space="0" w:color="auto"/>
          <w:lang w:val="en-GB"/>
        </w:rPr>
        <w:t xml:space="preserve"> European și al </w:t>
      </w:r>
      <w:proofErr w:type="spellStart"/>
      <w:r w:rsidR="005C4F7A" w:rsidRPr="005C4F7A">
        <w:rPr>
          <w:rFonts w:ascii="Cambria" w:eastAsia="Calibri" w:hAnsi="Cambria"/>
          <w:bdr w:val="none" w:sz="0" w:space="0" w:color="auto"/>
          <w:lang w:val="en-GB"/>
        </w:rPr>
        <w:t>Consiliului</w:t>
      </w:r>
      <w:proofErr w:type="spellEnd"/>
      <w:r w:rsidR="005C4F7A" w:rsidRPr="005C4F7A">
        <w:rPr>
          <w:rFonts w:ascii="Cambria" w:eastAsia="Calibri" w:hAnsi="Cambria"/>
          <w:bdr w:val="none" w:sz="0" w:space="0" w:color="auto"/>
          <w:lang w:val="en-GB"/>
        </w:rPr>
        <w:t xml:space="preserve"> de </w:t>
      </w:r>
      <w:proofErr w:type="spellStart"/>
      <w:r w:rsidR="005C4F7A" w:rsidRPr="005C4F7A">
        <w:rPr>
          <w:rFonts w:ascii="Cambria" w:eastAsia="Calibri" w:hAnsi="Cambria"/>
          <w:bdr w:val="none" w:sz="0" w:space="0" w:color="auto"/>
          <w:lang w:val="en-GB"/>
        </w:rPr>
        <w:t>instituire</w:t>
      </w:r>
      <w:proofErr w:type="spellEnd"/>
      <w:r w:rsidR="005C4F7A" w:rsidRPr="005C4F7A">
        <w:rPr>
          <w:rFonts w:ascii="Cambria" w:eastAsia="Calibri" w:hAnsi="Cambria"/>
          <w:bdr w:val="none" w:sz="0" w:space="0" w:color="auto"/>
          <w:lang w:val="en-GB"/>
        </w:rPr>
        <w:t xml:space="preserve"> a </w:t>
      </w:r>
      <w:proofErr w:type="spellStart"/>
      <w:r w:rsidR="005C4F7A" w:rsidRPr="005C4F7A">
        <w:rPr>
          <w:rFonts w:ascii="Cambria" w:eastAsia="Calibri" w:hAnsi="Cambria"/>
          <w:bdr w:val="none" w:sz="0" w:space="0" w:color="auto"/>
          <w:lang w:val="en-GB"/>
        </w:rPr>
        <w:t>împrumutului</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asociat</w:t>
      </w:r>
      <w:proofErr w:type="spellEnd"/>
      <w:r w:rsidR="005C4F7A" w:rsidRPr="005C4F7A">
        <w:rPr>
          <w:rFonts w:ascii="Cambria" w:eastAsia="Calibri" w:hAnsi="Cambria"/>
          <w:bdr w:val="none" w:sz="0" w:space="0" w:color="auto"/>
          <w:lang w:val="en-GB"/>
        </w:rPr>
        <w:t xml:space="preserve"> </w:t>
      </w:r>
      <w:proofErr w:type="spellStart"/>
      <w:r w:rsidR="005C4F7A" w:rsidRPr="005C4F7A">
        <w:rPr>
          <w:rFonts w:ascii="Cambria" w:eastAsia="Calibri" w:hAnsi="Cambria"/>
          <w:bdr w:val="none" w:sz="0" w:space="0" w:color="auto"/>
          <w:lang w:val="en-GB"/>
        </w:rPr>
        <w:t>reparațiilor</w:t>
      </w:r>
      <w:proofErr w:type="spellEnd"/>
      <w:r w:rsidR="005C4F7A" w:rsidRPr="005C4F7A">
        <w:rPr>
          <w:rFonts w:ascii="Cambria" w:eastAsia="Calibri" w:hAnsi="Cambria"/>
          <w:bdr w:val="none" w:sz="0" w:space="0" w:color="auto"/>
          <w:lang w:val="en-GB"/>
        </w:rPr>
        <w:t xml:space="preserve"> pentru </w:t>
      </w:r>
      <w:proofErr w:type="spellStart"/>
      <w:r w:rsidR="005C4F7A" w:rsidRPr="005C4F7A">
        <w:rPr>
          <w:rFonts w:ascii="Cambria" w:eastAsia="Calibri" w:hAnsi="Cambria"/>
          <w:bdr w:val="none" w:sz="0" w:space="0" w:color="auto"/>
          <w:lang w:val="en-GB"/>
        </w:rPr>
        <w:t>Ucraina</w:t>
      </w:r>
      <w:proofErr w:type="spellEnd"/>
      <w:r w:rsidR="005C4F7A" w:rsidRPr="005C4F7A">
        <w:rPr>
          <w:rFonts w:ascii="Cambria" w:eastAsia="Calibri" w:hAnsi="Cambria"/>
          <w:bdr w:val="none" w:sz="0" w:space="0" w:color="auto"/>
          <w:lang w:val="en-GB"/>
        </w:rPr>
        <w:t xml:space="preserve"> și de </w:t>
      </w:r>
      <w:proofErr w:type="spellStart"/>
      <w:r w:rsidR="005C4F7A" w:rsidRPr="005C4F7A">
        <w:rPr>
          <w:rFonts w:ascii="Cambria" w:eastAsia="Calibri" w:hAnsi="Cambria"/>
          <w:bdr w:val="none" w:sz="0" w:space="0" w:color="auto"/>
          <w:lang w:val="en-GB"/>
        </w:rPr>
        <w:t>modificare</w:t>
      </w:r>
      <w:proofErr w:type="spellEnd"/>
      <w:r w:rsidR="005C4F7A" w:rsidRPr="005C4F7A">
        <w:rPr>
          <w:rFonts w:ascii="Cambria" w:eastAsia="Calibri" w:hAnsi="Cambria"/>
          <w:bdr w:val="none" w:sz="0" w:space="0" w:color="auto"/>
          <w:lang w:val="en-GB"/>
        </w:rPr>
        <w:t xml:space="preserve"> a </w:t>
      </w:r>
      <w:proofErr w:type="spellStart"/>
      <w:r w:rsidR="005C4F7A" w:rsidRPr="005C4F7A">
        <w:rPr>
          <w:rFonts w:ascii="Cambria" w:eastAsia="Calibri" w:hAnsi="Cambria"/>
          <w:bdr w:val="none" w:sz="0" w:space="0" w:color="auto"/>
          <w:lang w:val="en-GB"/>
        </w:rPr>
        <w:t>Regulamentului</w:t>
      </w:r>
      <w:proofErr w:type="spellEnd"/>
      <w:r w:rsidR="005C4F7A" w:rsidRPr="005C4F7A">
        <w:rPr>
          <w:rFonts w:ascii="Cambria" w:eastAsia="Calibri" w:hAnsi="Cambria"/>
          <w:bdr w:val="none" w:sz="0" w:space="0" w:color="auto"/>
          <w:lang w:val="en-GB"/>
        </w:rPr>
        <w:t xml:space="preserve"> (UE) 2024/792 al </w:t>
      </w:r>
      <w:proofErr w:type="spellStart"/>
      <w:r w:rsidR="005C4F7A" w:rsidRPr="005C4F7A">
        <w:rPr>
          <w:rFonts w:ascii="Cambria" w:eastAsia="Calibri" w:hAnsi="Cambria"/>
          <w:bdr w:val="none" w:sz="0" w:space="0" w:color="auto"/>
          <w:lang w:val="en-GB"/>
        </w:rPr>
        <w:t>Parlamentului</w:t>
      </w:r>
      <w:proofErr w:type="spellEnd"/>
      <w:r w:rsidR="005C4F7A" w:rsidRPr="005C4F7A">
        <w:rPr>
          <w:rFonts w:ascii="Cambria" w:eastAsia="Calibri" w:hAnsi="Cambria"/>
          <w:bdr w:val="none" w:sz="0" w:space="0" w:color="auto"/>
          <w:lang w:val="en-GB"/>
        </w:rPr>
        <w:t xml:space="preserve"> European și al </w:t>
      </w:r>
      <w:proofErr w:type="spellStart"/>
      <w:r w:rsidR="005C4F7A" w:rsidRPr="005C4F7A">
        <w:rPr>
          <w:rFonts w:ascii="Cambria" w:eastAsia="Calibri" w:hAnsi="Cambria"/>
          <w:bdr w:val="none" w:sz="0" w:space="0" w:color="auto"/>
          <w:lang w:val="en-GB"/>
        </w:rPr>
        <w:t>Consiliului</w:t>
      </w:r>
      <w:proofErr w:type="spellEnd"/>
      <w:r w:rsidR="005C4F7A" w:rsidRPr="005C4F7A">
        <w:rPr>
          <w:rFonts w:ascii="Cambria" w:eastAsia="Calibri" w:hAnsi="Cambria"/>
          <w:bdr w:val="none" w:sz="0" w:space="0" w:color="auto"/>
          <w:lang w:val="en-GB"/>
        </w:rPr>
        <w:t xml:space="preserve"> din 29 </w:t>
      </w:r>
      <w:proofErr w:type="spellStart"/>
      <w:r w:rsidR="005C4F7A" w:rsidRPr="005C4F7A">
        <w:rPr>
          <w:rFonts w:ascii="Cambria" w:eastAsia="Calibri" w:hAnsi="Cambria"/>
          <w:bdr w:val="none" w:sz="0" w:space="0" w:color="auto"/>
          <w:lang w:val="en-GB"/>
        </w:rPr>
        <w:t>februarie</w:t>
      </w:r>
      <w:proofErr w:type="spellEnd"/>
      <w:r w:rsidR="005C4F7A" w:rsidRPr="005C4F7A">
        <w:rPr>
          <w:rFonts w:ascii="Cambria" w:eastAsia="Calibri" w:hAnsi="Cambria"/>
          <w:bdr w:val="none" w:sz="0" w:space="0" w:color="auto"/>
          <w:lang w:val="en-GB"/>
        </w:rPr>
        <w:t xml:space="preserve"> 2024 de </w:t>
      </w:r>
      <w:proofErr w:type="spellStart"/>
      <w:r w:rsidR="005C4F7A" w:rsidRPr="005C4F7A">
        <w:rPr>
          <w:rFonts w:ascii="Cambria" w:eastAsia="Calibri" w:hAnsi="Cambria"/>
          <w:bdr w:val="none" w:sz="0" w:space="0" w:color="auto"/>
          <w:lang w:val="en-GB"/>
        </w:rPr>
        <w:t>instituire</w:t>
      </w:r>
      <w:proofErr w:type="spellEnd"/>
      <w:r w:rsidR="005C4F7A" w:rsidRPr="005C4F7A">
        <w:rPr>
          <w:rFonts w:ascii="Cambria" w:eastAsia="Calibri" w:hAnsi="Cambria"/>
          <w:bdr w:val="none" w:sz="0" w:space="0" w:color="auto"/>
          <w:lang w:val="en-GB"/>
        </w:rPr>
        <w:t xml:space="preserve"> a </w:t>
      </w:r>
      <w:proofErr w:type="spellStart"/>
      <w:r w:rsidR="005C4F7A" w:rsidRPr="005C4F7A">
        <w:rPr>
          <w:rFonts w:ascii="Cambria" w:eastAsia="Calibri" w:hAnsi="Cambria"/>
          <w:bdr w:val="none" w:sz="0" w:space="0" w:color="auto"/>
          <w:lang w:val="en-GB"/>
        </w:rPr>
        <w:t>Mecanismului</w:t>
      </w:r>
      <w:proofErr w:type="spellEnd"/>
      <w:r w:rsidR="005C4F7A" w:rsidRPr="005C4F7A">
        <w:rPr>
          <w:rFonts w:ascii="Cambria" w:eastAsia="Calibri" w:hAnsi="Cambria"/>
          <w:bdr w:val="none" w:sz="0" w:space="0" w:color="auto"/>
          <w:lang w:val="en-GB"/>
        </w:rPr>
        <w:t xml:space="preserve"> pentru </w:t>
      </w:r>
      <w:proofErr w:type="spellStart"/>
      <w:r w:rsidR="005C4F7A" w:rsidRPr="005C4F7A">
        <w:rPr>
          <w:rFonts w:ascii="Cambria" w:eastAsia="Calibri" w:hAnsi="Cambria"/>
          <w:bdr w:val="none" w:sz="0" w:space="0" w:color="auto"/>
          <w:lang w:val="en-GB"/>
        </w:rPr>
        <w:t>Ucraina</w:t>
      </w:r>
      <w:proofErr w:type="spellEnd"/>
      <w:r w:rsidR="005C4F7A" w:rsidRPr="005C4F7A">
        <w:rPr>
          <w:rFonts w:ascii="Cambria" w:eastAsia="Calibri" w:hAnsi="Cambria"/>
          <w:bdr w:val="none" w:sz="0" w:space="0" w:color="auto"/>
          <w:lang w:val="en-GB"/>
        </w:rPr>
        <w:t xml:space="preserve"> – COM(2025) 3502 final. </w:t>
      </w:r>
    </w:p>
    <w:p w14:paraId="7EC2B356" w14:textId="77777777" w:rsidR="005C4F7A" w:rsidRPr="005C4F7A" w:rsidRDefault="005C4F7A" w:rsidP="005C4F7A">
      <w:pPr>
        <w:autoSpaceDE w:val="0"/>
        <w:autoSpaceDN w:val="0"/>
        <w:adjustRightInd w:val="0"/>
        <w:ind w:firstLine="720"/>
        <w:contextualSpacing/>
        <w:jc w:val="both"/>
        <w:rPr>
          <w:rFonts w:ascii="Cambria" w:eastAsia="Calibri" w:hAnsi="Cambria"/>
          <w:bdr w:val="none" w:sz="0" w:space="0" w:color="auto"/>
          <w:lang w:val="en-GB"/>
        </w:rPr>
      </w:pPr>
      <w:proofErr w:type="spellStart"/>
      <w:r w:rsidRPr="005C4F7A">
        <w:rPr>
          <w:rFonts w:ascii="Cambria" w:eastAsia="Calibri" w:hAnsi="Cambria"/>
          <w:bdr w:val="none" w:sz="0" w:space="0" w:color="auto"/>
          <w:lang w:val="en-GB"/>
        </w:rPr>
        <w:t>Acest</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mecanism</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este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justificat</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prin</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necesitatea</w:t>
      </w:r>
      <w:proofErr w:type="spellEnd"/>
      <w:r w:rsidRPr="005C4F7A">
        <w:rPr>
          <w:rFonts w:ascii="Cambria" w:eastAsia="Calibri" w:hAnsi="Cambria"/>
          <w:bdr w:val="none" w:sz="0" w:space="0" w:color="auto"/>
          <w:lang w:val="en-GB"/>
        </w:rPr>
        <w:t xml:space="preserve"> de a </w:t>
      </w:r>
      <w:proofErr w:type="spellStart"/>
      <w:r w:rsidRPr="005C4F7A">
        <w:rPr>
          <w:rFonts w:ascii="Cambria" w:eastAsia="Calibri" w:hAnsi="Cambria"/>
          <w:bdr w:val="none" w:sz="0" w:space="0" w:color="auto"/>
          <w:lang w:val="en-GB"/>
        </w:rPr>
        <w:t>menține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stabilitatea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economică</w:t>
      </w:r>
      <w:proofErr w:type="spellEnd"/>
      <w:r w:rsidRPr="005C4F7A">
        <w:rPr>
          <w:rFonts w:ascii="Cambria" w:eastAsia="Calibri" w:hAnsi="Cambria"/>
          <w:bdr w:val="none" w:sz="0" w:space="0" w:color="auto"/>
          <w:lang w:val="en-GB"/>
        </w:rPr>
        <w:t xml:space="preserve"> a UE și de a </w:t>
      </w:r>
      <w:proofErr w:type="spellStart"/>
      <w:r w:rsidRPr="005C4F7A">
        <w:rPr>
          <w:rFonts w:ascii="Cambria" w:eastAsia="Calibri" w:hAnsi="Cambria"/>
          <w:bdr w:val="none" w:sz="0" w:space="0" w:color="auto"/>
          <w:lang w:val="en-GB"/>
        </w:rPr>
        <w:t>sprijini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Ucraina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în</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fața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deteriorării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contextului</w:t>
      </w:r>
      <w:proofErr w:type="spellEnd"/>
      <w:r w:rsidRPr="005C4F7A">
        <w:rPr>
          <w:rFonts w:ascii="Cambria" w:eastAsia="Calibri" w:hAnsi="Cambria"/>
          <w:bdr w:val="none" w:sz="0" w:space="0" w:color="auto"/>
          <w:lang w:val="en-GB"/>
        </w:rPr>
        <w:t xml:space="preserve"> de </w:t>
      </w:r>
      <w:proofErr w:type="spellStart"/>
      <w:r w:rsidRPr="005C4F7A">
        <w:rPr>
          <w:rFonts w:ascii="Cambria" w:eastAsia="Calibri" w:hAnsi="Cambria"/>
          <w:bdr w:val="none" w:sz="0" w:space="0" w:color="auto"/>
          <w:lang w:val="en-GB"/>
        </w:rPr>
        <w:t>securitate</w:t>
      </w:r>
      <w:proofErr w:type="spellEnd"/>
      <w:r w:rsidRPr="005C4F7A">
        <w:rPr>
          <w:rFonts w:ascii="Cambria" w:eastAsia="Calibri" w:hAnsi="Cambria"/>
          <w:bdr w:val="none" w:sz="0" w:space="0" w:color="auto"/>
          <w:lang w:val="en-GB"/>
        </w:rPr>
        <w:t xml:space="preserve">, care </w:t>
      </w:r>
      <w:proofErr w:type="gramStart"/>
      <w:r w:rsidRPr="005C4F7A">
        <w:rPr>
          <w:rFonts w:ascii="Cambria" w:eastAsia="Calibri" w:hAnsi="Cambria"/>
          <w:bdr w:val="none" w:sz="0" w:space="0" w:color="auto"/>
          <w:lang w:val="en-GB"/>
        </w:rPr>
        <w:t>are</w:t>
      </w:r>
      <w:proofErr w:type="gram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implicații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economice</w:t>
      </w:r>
      <w:proofErr w:type="spellEnd"/>
      <w:r w:rsidRPr="005C4F7A">
        <w:rPr>
          <w:rFonts w:ascii="Cambria" w:eastAsia="Calibri" w:hAnsi="Cambria"/>
          <w:bdr w:val="none" w:sz="0" w:space="0" w:color="auto"/>
          <w:lang w:val="en-GB"/>
        </w:rPr>
        <w:t xml:space="preserve"> și </w:t>
      </w:r>
      <w:proofErr w:type="spellStart"/>
      <w:r w:rsidRPr="005C4F7A">
        <w:rPr>
          <w:rFonts w:ascii="Cambria" w:eastAsia="Calibri" w:hAnsi="Cambria"/>
          <w:bdr w:val="none" w:sz="0" w:space="0" w:color="auto"/>
          <w:lang w:val="en-GB"/>
        </w:rPr>
        <w:t>bugetare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semnificative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asupra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statelor</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membre</w:t>
      </w:r>
      <w:proofErr w:type="spellEnd"/>
      <w:r w:rsidRPr="005C4F7A">
        <w:rPr>
          <w:rFonts w:ascii="Cambria" w:eastAsia="Calibri" w:hAnsi="Cambria"/>
          <w:bdr w:val="none" w:sz="0" w:space="0" w:color="auto"/>
          <w:lang w:val="en-GB"/>
        </w:rPr>
        <w:t>.</w:t>
      </w:r>
    </w:p>
    <w:p w14:paraId="01B0F54E" w14:textId="77777777" w:rsidR="005C4F7A" w:rsidRDefault="005C4F7A" w:rsidP="005C4F7A">
      <w:pPr>
        <w:autoSpaceDE w:val="0"/>
        <w:autoSpaceDN w:val="0"/>
        <w:adjustRightInd w:val="0"/>
        <w:ind w:firstLine="720"/>
        <w:contextualSpacing/>
        <w:jc w:val="both"/>
        <w:rPr>
          <w:rFonts w:ascii="Cambria" w:eastAsia="Calibri" w:hAnsi="Cambria"/>
          <w:bdr w:val="none" w:sz="0" w:space="0" w:color="auto"/>
          <w:lang w:val="en-GB"/>
        </w:rPr>
      </w:pPr>
      <w:proofErr w:type="spellStart"/>
      <w:r w:rsidRPr="005C4F7A">
        <w:rPr>
          <w:rFonts w:ascii="Cambria" w:eastAsia="Calibri" w:hAnsi="Cambria"/>
          <w:bdr w:val="none" w:sz="0" w:space="0" w:color="auto"/>
          <w:lang w:val="en-GB"/>
        </w:rPr>
        <w:t>În</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acest</w:t>
      </w:r>
      <w:proofErr w:type="spellEnd"/>
      <w:r w:rsidRPr="005C4F7A">
        <w:rPr>
          <w:rFonts w:ascii="Cambria" w:eastAsia="Calibri" w:hAnsi="Cambria"/>
          <w:bdr w:val="none" w:sz="0" w:space="0" w:color="auto"/>
          <w:lang w:val="en-GB"/>
        </w:rPr>
        <w:t xml:space="preserve"> context, </w:t>
      </w:r>
      <w:proofErr w:type="spellStart"/>
      <w:r w:rsidRPr="005C4F7A">
        <w:rPr>
          <w:rFonts w:ascii="Cambria" w:eastAsia="Calibri" w:hAnsi="Cambria"/>
          <w:bdr w:val="none" w:sz="0" w:space="0" w:color="auto"/>
          <w:lang w:val="en-GB"/>
        </w:rPr>
        <w:t>există</w:t>
      </w:r>
      <w:proofErr w:type="spellEnd"/>
      <w:r w:rsidRPr="005C4F7A">
        <w:rPr>
          <w:rFonts w:ascii="Cambria" w:eastAsia="Calibri" w:hAnsi="Cambria"/>
          <w:bdr w:val="none" w:sz="0" w:space="0" w:color="auto"/>
          <w:lang w:val="en-GB"/>
        </w:rPr>
        <w:t xml:space="preserve"> un impact </w:t>
      </w:r>
      <w:proofErr w:type="spellStart"/>
      <w:r w:rsidRPr="005C4F7A">
        <w:rPr>
          <w:rFonts w:ascii="Cambria" w:eastAsia="Calibri" w:hAnsi="Cambria"/>
          <w:bdr w:val="none" w:sz="0" w:space="0" w:color="auto"/>
          <w:lang w:val="en-GB"/>
        </w:rPr>
        <w:t>asupra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securității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dar</w:t>
      </w:r>
      <w:proofErr w:type="spellEnd"/>
      <w:r w:rsidRPr="005C4F7A">
        <w:rPr>
          <w:rFonts w:ascii="Cambria" w:eastAsia="Calibri" w:hAnsi="Cambria"/>
          <w:bdr w:val="none" w:sz="0" w:space="0" w:color="auto"/>
          <w:lang w:val="en-GB"/>
        </w:rPr>
        <w:t xml:space="preserve"> și un impact economic </w:t>
      </w:r>
      <w:proofErr w:type="spellStart"/>
      <w:r w:rsidRPr="005C4F7A">
        <w:rPr>
          <w:rFonts w:ascii="Cambria" w:eastAsia="Calibri" w:hAnsi="Cambria"/>
          <w:bdr w:val="none" w:sz="0" w:space="0" w:color="auto"/>
          <w:lang w:val="en-GB"/>
        </w:rPr>
        <w:t>grav</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Războiul</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nejustificat</w:t>
      </w:r>
      <w:proofErr w:type="spellEnd"/>
      <w:r w:rsidRPr="005C4F7A">
        <w:rPr>
          <w:rFonts w:ascii="Cambria" w:eastAsia="Calibri" w:hAnsi="Cambria"/>
          <w:bdr w:val="none" w:sz="0" w:space="0" w:color="auto"/>
          <w:lang w:val="en-GB"/>
        </w:rPr>
        <w:t xml:space="preserve"> și </w:t>
      </w:r>
      <w:proofErr w:type="spellStart"/>
      <w:r w:rsidRPr="005C4F7A">
        <w:rPr>
          <w:rFonts w:ascii="Cambria" w:eastAsia="Calibri" w:hAnsi="Cambria"/>
          <w:bdr w:val="none" w:sz="0" w:space="0" w:color="auto"/>
          <w:lang w:val="en-GB"/>
        </w:rPr>
        <w:t>neprovocat</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împotriva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Ucrainei</w:t>
      </w:r>
      <w:proofErr w:type="spellEnd"/>
      <w:r w:rsidRPr="005C4F7A">
        <w:rPr>
          <w:rFonts w:ascii="Cambria" w:eastAsia="Calibri" w:hAnsi="Cambria"/>
          <w:bdr w:val="none" w:sz="0" w:space="0" w:color="auto"/>
          <w:lang w:val="en-GB"/>
        </w:rPr>
        <w:t xml:space="preserve"> a </w:t>
      </w:r>
      <w:proofErr w:type="spellStart"/>
      <w:r w:rsidRPr="005C4F7A">
        <w:rPr>
          <w:rFonts w:ascii="Cambria" w:eastAsia="Calibri" w:hAnsi="Cambria"/>
          <w:bdr w:val="none" w:sz="0" w:space="0" w:color="auto"/>
          <w:lang w:val="en-GB"/>
        </w:rPr>
        <w:t>declanșat</w:t>
      </w:r>
      <w:proofErr w:type="spellEnd"/>
      <w:r w:rsidRPr="005C4F7A">
        <w:rPr>
          <w:rFonts w:ascii="Cambria" w:eastAsia="Calibri" w:hAnsi="Cambria"/>
          <w:bdr w:val="none" w:sz="0" w:space="0" w:color="auto"/>
          <w:lang w:val="en-GB"/>
        </w:rPr>
        <w:t xml:space="preserve"> un </w:t>
      </w:r>
      <w:proofErr w:type="spellStart"/>
      <w:r w:rsidRPr="005C4F7A">
        <w:rPr>
          <w:rFonts w:ascii="Cambria" w:eastAsia="Calibri" w:hAnsi="Cambria"/>
          <w:bdr w:val="none" w:sz="0" w:space="0" w:color="auto"/>
          <w:lang w:val="en-GB"/>
        </w:rPr>
        <w:t>șoc</w:t>
      </w:r>
      <w:proofErr w:type="spellEnd"/>
      <w:r w:rsidRPr="005C4F7A">
        <w:rPr>
          <w:rFonts w:ascii="Cambria" w:eastAsia="Calibri" w:hAnsi="Cambria"/>
          <w:bdr w:val="none" w:sz="0" w:space="0" w:color="auto"/>
          <w:lang w:val="en-GB"/>
        </w:rPr>
        <w:t xml:space="preserve"> pentru </w:t>
      </w:r>
      <w:proofErr w:type="spellStart"/>
      <w:r w:rsidRPr="005C4F7A">
        <w:rPr>
          <w:rFonts w:ascii="Cambria" w:eastAsia="Calibri" w:hAnsi="Cambria"/>
          <w:bdr w:val="none" w:sz="0" w:space="0" w:color="auto"/>
          <w:lang w:val="en-GB"/>
        </w:rPr>
        <w:t>economia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Uniunii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prin</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perturbări</w:t>
      </w:r>
      <w:proofErr w:type="spellEnd"/>
      <w:r w:rsidRPr="005C4F7A">
        <w:rPr>
          <w:rFonts w:ascii="Cambria" w:eastAsia="Calibri" w:hAnsi="Cambria"/>
          <w:bdr w:val="none" w:sz="0" w:space="0" w:color="auto"/>
          <w:lang w:val="en-GB"/>
        </w:rPr>
        <w:t xml:space="preserve"> grave ale </w:t>
      </w:r>
      <w:proofErr w:type="spellStart"/>
      <w:r w:rsidRPr="005C4F7A">
        <w:rPr>
          <w:rFonts w:ascii="Cambria" w:eastAsia="Calibri" w:hAnsi="Cambria"/>
          <w:bdr w:val="none" w:sz="0" w:space="0" w:color="auto"/>
          <w:lang w:val="en-GB"/>
        </w:rPr>
        <w:t>aprovizionării</w:t>
      </w:r>
      <w:proofErr w:type="spellEnd"/>
      <w:r w:rsidRPr="005C4F7A">
        <w:rPr>
          <w:rFonts w:ascii="Cambria" w:eastAsia="Calibri" w:hAnsi="Cambria"/>
          <w:bdr w:val="none" w:sz="0" w:space="0" w:color="auto"/>
          <w:lang w:val="en-GB"/>
        </w:rPr>
        <w:t xml:space="preserve">, o </w:t>
      </w:r>
      <w:proofErr w:type="spellStart"/>
      <w:r w:rsidRPr="005C4F7A">
        <w:rPr>
          <w:rFonts w:ascii="Cambria" w:eastAsia="Calibri" w:hAnsi="Cambria"/>
          <w:bdr w:val="none" w:sz="0" w:space="0" w:color="auto"/>
          <w:lang w:val="en-GB"/>
        </w:rPr>
        <w:t>incertitudine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sporită</w:t>
      </w:r>
      <w:proofErr w:type="spellEnd"/>
      <w:r w:rsidRPr="005C4F7A">
        <w:rPr>
          <w:rFonts w:ascii="Cambria" w:eastAsia="Calibri" w:hAnsi="Cambria"/>
          <w:bdr w:val="none" w:sz="0" w:space="0" w:color="auto"/>
          <w:lang w:val="en-GB"/>
        </w:rPr>
        <w:t xml:space="preserve">, prime de </w:t>
      </w:r>
      <w:proofErr w:type="spellStart"/>
      <w:r w:rsidRPr="005C4F7A">
        <w:rPr>
          <w:rFonts w:ascii="Cambria" w:eastAsia="Calibri" w:hAnsi="Cambria"/>
          <w:bdr w:val="none" w:sz="0" w:space="0" w:color="auto"/>
          <w:lang w:val="en-GB"/>
        </w:rPr>
        <w:t>risc</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mai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ridicate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investiții</w:t>
      </w:r>
      <w:proofErr w:type="spellEnd"/>
      <w:r w:rsidRPr="005C4F7A">
        <w:rPr>
          <w:rFonts w:ascii="Cambria" w:eastAsia="Calibri" w:hAnsi="Cambria"/>
          <w:bdr w:val="none" w:sz="0" w:space="0" w:color="auto"/>
          <w:lang w:val="en-GB"/>
        </w:rPr>
        <w:t xml:space="preserve"> și </w:t>
      </w:r>
      <w:proofErr w:type="spellStart"/>
      <w:r w:rsidRPr="005C4F7A">
        <w:rPr>
          <w:rFonts w:ascii="Cambria" w:eastAsia="Calibri" w:hAnsi="Cambria"/>
          <w:bdr w:val="none" w:sz="0" w:space="0" w:color="auto"/>
          <w:lang w:val="en-GB"/>
        </w:rPr>
        <w:t>cheltuieli</w:t>
      </w:r>
      <w:proofErr w:type="spellEnd"/>
      <w:r w:rsidRPr="005C4F7A">
        <w:rPr>
          <w:rFonts w:ascii="Cambria" w:eastAsia="Calibri" w:hAnsi="Cambria"/>
          <w:bdr w:val="none" w:sz="0" w:space="0" w:color="auto"/>
          <w:lang w:val="en-GB"/>
        </w:rPr>
        <w:t xml:space="preserve"> de </w:t>
      </w:r>
      <w:proofErr w:type="spellStart"/>
      <w:r w:rsidRPr="005C4F7A">
        <w:rPr>
          <w:rFonts w:ascii="Cambria" w:eastAsia="Calibri" w:hAnsi="Cambria"/>
          <w:bdr w:val="none" w:sz="0" w:space="0" w:color="auto"/>
          <w:lang w:val="en-GB"/>
        </w:rPr>
        <w:t>consum</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mai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mici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în</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Uniune</w:t>
      </w:r>
      <w:proofErr w:type="spellEnd"/>
      <w:r w:rsidRPr="005C4F7A">
        <w:rPr>
          <w:rFonts w:ascii="Cambria" w:eastAsia="Calibri" w:hAnsi="Cambria"/>
          <w:bdr w:val="none" w:sz="0" w:space="0" w:color="auto"/>
          <w:lang w:val="en-GB"/>
        </w:rPr>
        <w:t xml:space="preserve">. Pe </w:t>
      </w:r>
      <w:proofErr w:type="spellStart"/>
      <w:r w:rsidRPr="005C4F7A">
        <w:rPr>
          <w:rFonts w:ascii="Cambria" w:eastAsia="Calibri" w:hAnsi="Cambria"/>
          <w:bdr w:val="none" w:sz="0" w:space="0" w:color="auto"/>
          <w:lang w:val="en-GB"/>
        </w:rPr>
        <w:t>lângă</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pierderea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creșterii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economice</w:t>
      </w:r>
      <w:proofErr w:type="spellEnd"/>
      <w:r w:rsidRPr="005C4F7A">
        <w:rPr>
          <w:rFonts w:ascii="Cambria" w:eastAsia="Calibri" w:hAnsi="Cambria"/>
          <w:bdr w:val="none" w:sz="0" w:space="0" w:color="auto"/>
          <w:lang w:val="en-GB"/>
        </w:rPr>
        <w:t xml:space="preserve"> și a </w:t>
      </w:r>
      <w:proofErr w:type="spellStart"/>
      <w:r w:rsidRPr="005C4F7A">
        <w:rPr>
          <w:rFonts w:ascii="Cambria" w:eastAsia="Calibri" w:hAnsi="Cambria"/>
          <w:bdr w:val="none" w:sz="0" w:space="0" w:color="auto"/>
          <w:lang w:val="en-GB"/>
        </w:rPr>
        <w:t>puterii</w:t>
      </w:r>
      <w:proofErr w:type="spellEnd"/>
      <w:r w:rsidRPr="005C4F7A">
        <w:rPr>
          <w:rFonts w:ascii="Cambria" w:eastAsia="Calibri" w:hAnsi="Cambria"/>
          <w:bdr w:val="none" w:sz="0" w:space="0" w:color="auto"/>
          <w:lang w:val="en-GB"/>
        </w:rPr>
        <w:t xml:space="preserve"> de </w:t>
      </w:r>
      <w:proofErr w:type="spellStart"/>
      <w:r w:rsidRPr="005C4F7A">
        <w:rPr>
          <w:rFonts w:ascii="Cambria" w:eastAsia="Calibri" w:hAnsi="Cambria"/>
          <w:bdr w:val="none" w:sz="0" w:space="0" w:color="auto"/>
          <w:lang w:val="en-GB"/>
        </w:rPr>
        <w:t>cumpărare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acțiunile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Rusiei</w:t>
      </w:r>
      <w:proofErr w:type="spellEnd"/>
      <w:r w:rsidRPr="005C4F7A">
        <w:rPr>
          <w:rFonts w:ascii="Cambria" w:eastAsia="Calibri" w:hAnsi="Cambria"/>
          <w:bdr w:val="none" w:sz="0" w:space="0" w:color="auto"/>
          <w:lang w:val="en-GB"/>
        </w:rPr>
        <w:t xml:space="preserve"> au </w:t>
      </w:r>
      <w:proofErr w:type="spellStart"/>
      <w:r w:rsidRPr="005C4F7A">
        <w:rPr>
          <w:rFonts w:ascii="Cambria" w:eastAsia="Calibri" w:hAnsi="Cambria"/>
          <w:bdr w:val="none" w:sz="0" w:space="0" w:color="auto"/>
          <w:lang w:val="en-GB"/>
        </w:rPr>
        <w:t>condus</w:t>
      </w:r>
      <w:proofErr w:type="spellEnd"/>
      <w:r w:rsidRPr="005C4F7A">
        <w:rPr>
          <w:rFonts w:ascii="Cambria" w:eastAsia="Calibri" w:hAnsi="Cambria"/>
          <w:bdr w:val="none" w:sz="0" w:space="0" w:color="auto"/>
          <w:lang w:val="en-GB"/>
        </w:rPr>
        <w:t xml:space="preserve"> la </w:t>
      </w:r>
      <w:proofErr w:type="spellStart"/>
      <w:r w:rsidRPr="005C4F7A">
        <w:rPr>
          <w:rFonts w:ascii="Cambria" w:eastAsia="Calibri" w:hAnsi="Cambria"/>
          <w:bdr w:val="none" w:sz="0" w:space="0" w:color="auto"/>
          <w:lang w:val="en-GB"/>
        </w:rPr>
        <w:t>costuri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bugetare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directe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semnificative</w:t>
      </w:r>
      <w:proofErr w:type="spellEnd"/>
      <w:r w:rsidRPr="005C4F7A">
        <w:rPr>
          <w:rFonts w:ascii="Cambria" w:eastAsia="Calibri" w:hAnsi="Cambria"/>
          <w:bdr w:val="none" w:sz="0" w:space="0" w:color="auto"/>
          <w:lang w:val="en-GB"/>
        </w:rPr>
        <w:t xml:space="preserve"> pentru </w:t>
      </w:r>
      <w:proofErr w:type="spellStart"/>
      <w:r w:rsidRPr="005C4F7A">
        <w:rPr>
          <w:rFonts w:ascii="Cambria" w:eastAsia="Calibri" w:hAnsi="Cambria"/>
          <w:bdr w:val="none" w:sz="0" w:space="0" w:color="auto"/>
          <w:lang w:val="en-GB"/>
        </w:rPr>
        <w:t>statele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membre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Aceste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costuri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bugetare</w:t>
      </w:r>
      <w:proofErr w:type="spellEnd"/>
      <w:r w:rsidRPr="005C4F7A">
        <w:rPr>
          <w:rFonts w:ascii="Cambria" w:eastAsia="Calibri" w:hAnsi="Cambria"/>
          <w:bdr w:val="none" w:sz="0" w:space="0" w:color="auto"/>
          <w:lang w:val="en-GB"/>
        </w:rPr>
        <w:t xml:space="preserve"> sunt </w:t>
      </w:r>
      <w:proofErr w:type="spellStart"/>
      <w:r w:rsidRPr="005C4F7A">
        <w:rPr>
          <w:rFonts w:ascii="Cambria" w:eastAsia="Calibri" w:hAnsi="Cambria"/>
          <w:bdr w:val="none" w:sz="0" w:space="0" w:color="auto"/>
          <w:lang w:val="en-GB"/>
        </w:rPr>
        <w:t>rezultatul</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eforturilor</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statelor</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membre</w:t>
      </w:r>
      <w:proofErr w:type="spellEnd"/>
      <w:r w:rsidRPr="005C4F7A">
        <w:rPr>
          <w:rFonts w:ascii="Cambria" w:eastAsia="Calibri" w:hAnsi="Cambria"/>
          <w:bdr w:val="none" w:sz="0" w:space="0" w:color="auto"/>
          <w:lang w:val="en-GB"/>
        </w:rPr>
        <w:t xml:space="preserve"> de </w:t>
      </w:r>
      <w:proofErr w:type="gramStart"/>
      <w:r w:rsidRPr="005C4F7A">
        <w:rPr>
          <w:rFonts w:ascii="Cambria" w:eastAsia="Calibri" w:hAnsi="Cambria"/>
          <w:bdr w:val="none" w:sz="0" w:space="0" w:color="auto"/>
          <w:lang w:val="en-GB"/>
        </w:rPr>
        <w:t>a</w:t>
      </w:r>
      <w:proofErr w:type="gram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atenua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efectele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economice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resimțite</w:t>
      </w:r>
      <w:proofErr w:type="spellEnd"/>
      <w:r w:rsidRPr="005C4F7A">
        <w:rPr>
          <w:rFonts w:ascii="Cambria" w:eastAsia="Calibri" w:hAnsi="Cambria"/>
          <w:bdr w:val="none" w:sz="0" w:space="0" w:color="auto"/>
          <w:lang w:val="en-GB"/>
        </w:rPr>
        <w:t xml:space="preserve"> și de a-și </w:t>
      </w:r>
      <w:proofErr w:type="spellStart"/>
      <w:r w:rsidRPr="005C4F7A">
        <w:rPr>
          <w:rFonts w:ascii="Cambria" w:eastAsia="Calibri" w:hAnsi="Cambria"/>
          <w:bdr w:val="none" w:sz="0" w:space="0" w:color="auto"/>
          <w:lang w:val="en-GB"/>
        </w:rPr>
        <w:t>spori</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propriile</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capabilități</w:t>
      </w:r>
      <w:proofErr w:type="spellEnd"/>
      <w:r w:rsidRPr="005C4F7A">
        <w:rPr>
          <w:rFonts w:ascii="Cambria" w:eastAsia="Calibri" w:hAnsi="Cambria"/>
          <w:bdr w:val="none" w:sz="0" w:space="0" w:color="auto"/>
          <w:lang w:val="en-GB"/>
        </w:rPr>
        <w:t xml:space="preserve"> de </w:t>
      </w:r>
      <w:proofErr w:type="spellStart"/>
      <w:r w:rsidRPr="005C4F7A">
        <w:rPr>
          <w:rFonts w:ascii="Cambria" w:eastAsia="Calibri" w:hAnsi="Cambria"/>
          <w:bdr w:val="none" w:sz="0" w:space="0" w:color="auto"/>
          <w:lang w:val="en-GB"/>
        </w:rPr>
        <w:t>apărare</w:t>
      </w:r>
      <w:proofErr w:type="spellEnd"/>
      <w:r w:rsidRPr="005C4F7A">
        <w:rPr>
          <w:rFonts w:ascii="Cambria" w:eastAsia="Calibri" w:hAnsi="Cambria"/>
          <w:bdr w:val="none" w:sz="0" w:space="0" w:color="auto"/>
          <w:lang w:val="en-GB"/>
        </w:rPr>
        <w:t xml:space="preserve"> ca </w:t>
      </w:r>
      <w:proofErr w:type="spellStart"/>
      <w:r w:rsidRPr="005C4F7A">
        <w:rPr>
          <w:rFonts w:ascii="Cambria" w:eastAsia="Calibri" w:hAnsi="Cambria"/>
          <w:bdr w:val="none" w:sz="0" w:space="0" w:color="auto"/>
          <w:lang w:val="en-GB"/>
        </w:rPr>
        <w:t>răspuns</w:t>
      </w:r>
      <w:proofErr w:type="spellEnd"/>
      <w:r w:rsidRPr="005C4F7A">
        <w:rPr>
          <w:rFonts w:ascii="Cambria" w:eastAsia="Calibri" w:hAnsi="Cambria"/>
          <w:bdr w:val="none" w:sz="0" w:space="0" w:color="auto"/>
          <w:lang w:val="en-GB"/>
        </w:rPr>
        <w:t xml:space="preserve"> la </w:t>
      </w:r>
      <w:proofErr w:type="spellStart"/>
      <w:r w:rsidRPr="005C4F7A">
        <w:rPr>
          <w:rFonts w:ascii="Cambria" w:eastAsia="Calibri" w:hAnsi="Cambria"/>
          <w:bdr w:val="none" w:sz="0" w:space="0" w:color="auto"/>
          <w:lang w:val="en-GB"/>
        </w:rPr>
        <w:t>amenințarea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crescută</w:t>
      </w:r>
      <w:proofErr w:type="spellEnd"/>
      <w:r w:rsidRPr="005C4F7A">
        <w:rPr>
          <w:rFonts w:ascii="Cambria" w:eastAsia="Calibri" w:hAnsi="Cambria"/>
          <w:bdr w:val="none" w:sz="0" w:space="0" w:color="auto"/>
          <w:lang w:val="en-GB"/>
        </w:rPr>
        <w:t xml:space="preserve"> la </w:t>
      </w:r>
      <w:proofErr w:type="spellStart"/>
      <w:r w:rsidRPr="005C4F7A">
        <w:rPr>
          <w:rFonts w:ascii="Cambria" w:eastAsia="Calibri" w:hAnsi="Cambria"/>
          <w:bdr w:val="none" w:sz="0" w:space="0" w:color="auto"/>
          <w:lang w:val="en-GB"/>
        </w:rPr>
        <w:t>adresa</w:t>
      </w:r>
      <w:proofErr w:type="spellEnd"/>
      <w:r w:rsidRPr="005C4F7A">
        <w:rPr>
          <w:rFonts w:ascii="Cambria" w:eastAsia="Calibri" w:hAnsi="Cambria"/>
          <w:bdr w:val="none" w:sz="0" w:space="0" w:color="auto"/>
          <w:lang w:val="en-GB"/>
        </w:rPr>
        <w:t xml:space="preserve"> </w:t>
      </w:r>
      <w:proofErr w:type="spellStart"/>
      <w:r w:rsidRPr="005C4F7A">
        <w:rPr>
          <w:rFonts w:ascii="Cambria" w:eastAsia="Calibri" w:hAnsi="Cambria"/>
          <w:bdr w:val="none" w:sz="0" w:space="0" w:color="auto"/>
          <w:lang w:val="en-GB"/>
        </w:rPr>
        <w:t>securității</w:t>
      </w:r>
      <w:proofErr w:type="spellEnd"/>
      <w:r w:rsidRPr="005C4F7A">
        <w:rPr>
          <w:rFonts w:ascii="Cambria" w:eastAsia="Calibri" w:hAnsi="Cambria"/>
          <w:bdr w:val="none" w:sz="0" w:space="0" w:color="auto"/>
          <w:lang w:val="en-GB"/>
        </w:rPr>
        <w:t>.</w:t>
      </w:r>
    </w:p>
    <w:p w14:paraId="67077041" w14:textId="77777777" w:rsidR="005C4F7A" w:rsidRDefault="005C4F7A" w:rsidP="005C4F7A">
      <w:pPr>
        <w:autoSpaceDE w:val="0"/>
        <w:autoSpaceDN w:val="0"/>
        <w:adjustRightInd w:val="0"/>
        <w:ind w:firstLine="720"/>
        <w:contextualSpacing/>
        <w:jc w:val="both"/>
        <w:rPr>
          <w:rFonts w:ascii="Cambria" w:eastAsia="Calibri" w:hAnsi="Cambria"/>
          <w:bdr w:val="none" w:sz="0" w:space="0" w:color="auto"/>
          <w:lang w:val="en-GB"/>
        </w:rPr>
      </w:pPr>
    </w:p>
    <w:p w14:paraId="26693A33" w14:textId="0644E64F" w:rsidR="008F1723" w:rsidRPr="00071E16" w:rsidRDefault="008F1723" w:rsidP="005C4F7A">
      <w:pPr>
        <w:autoSpaceDE w:val="0"/>
        <w:autoSpaceDN w:val="0"/>
        <w:adjustRightInd w:val="0"/>
        <w:ind w:firstLine="720"/>
        <w:contextualSpacing/>
        <w:jc w:val="both"/>
        <w:rPr>
          <w:rFonts w:eastAsia="Times New Roman"/>
          <w:lang w:val="ro-RO"/>
        </w:rPr>
      </w:pPr>
      <w:r w:rsidRPr="00071E16">
        <w:rPr>
          <w:rFonts w:eastAsia="Times New Roman"/>
          <w:lang w:val="ro-RO"/>
        </w:rPr>
        <w:t>Membrii Comisiei pentru politică externă au analizat textul documentului și au hotărât, cu unanimitate de voturi, să adopte un proces-verbal.</w:t>
      </w:r>
    </w:p>
    <w:p w14:paraId="06436350" w14:textId="52B23B96" w:rsidR="0021078E" w:rsidRPr="00071E16" w:rsidRDefault="0021078E" w:rsidP="00071E16">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 xml:space="preserve">COM (2025) </w:t>
      </w:r>
      <w:r w:rsidR="00C70F83">
        <w:rPr>
          <w:rFonts w:ascii="Times New Roman" w:eastAsia="Times New Roman" w:hAnsi="Times New Roman" w:cs="Times New Roman"/>
          <w:b/>
          <w:bCs/>
          <w:sz w:val="24"/>
          <w:szCs w:val="24"/>
          <w:lang w:val="ro-RO"/>
        </w:rPr>
        <w:t>3500</w:t>
      </w:r>
      <w:r w:rsidRPr="00071E16">
        <w:rPr>
          <w:rFonts w:ascii="Times New Roman" w:eastAsia="Times New Roman" w:hAnsi="Times New Roman" w:cs="Times New Roman"/>
          <w:b/>
          <w:bCs/>
          <w:sz w:val="24"/>
          <w:szCs w:val="24"/>
          <w:lang w:val="ro-RO"/>
        </w:rPr>
        <w:t xml:space="preserve"> final - </w:t>
      </w:r>
      <w:r w:rsidR="00DA530D" w:rsidRPr="00DA530D">
        <w:rPr>
          <w:rFonts w:ascii="Times New Roman" w:eastAsia="Times New Roman" w:hAnsi="Times New Roman" w:cs="Times New Roman"/>
          <w:b/>
          <w:bCs/>
          <w:sz w:val="24"/>
          <w:szCs w:val="24"/>
          <w:lang w:val="ro-RO"/>
        </w:rPr>
        <w:t>Propunere de Regulament al Consiliului de modificare a Regulamentului (UE, Euratom) 2020/2093 al Consiliului din 17 decembrie 2020 de stabilire a cadrului financiar multianual pentru perioada 2021-2027</w:t>
      </w:r>
      <w:r w:rsidRPr="00071E16">
        <w:rPr>
          <w:rFonts w:ascii="Times New Roman" w:eastAsia="Times New Roman" w:hAnsi="Times New Roman" w:cs="Times New Roman"/>
          <w:b/>
          <w:bCs/>
          <w:sz w:val="24"/>
          <w:szCs w:val="24"/>
          <w:lang w:val="ro-RO"/>
        </w:rPr>
        <w:t>.</w:t>
      </w:r>
    </w:p>
    <w:p w14:paraId="0D905D46" w14:textId="77777777" w:rsidR="005C4F7A" w:rsidRPr="005C4F7A" w:rsidRDefault="0021078E" w:rsidP="005C4F7A">
      <w:pPr>
        <w:pStyle w:val="Corp"/>
        <w:spacing w:before="120" w:after="0"/>
        <w:ind w:firstLine="720"/>
        <w:jc w:val="both"/>
        <w:rPr>
          <w:rFonts w:ascii="Times New Roman" w:eastAsia="Times New Roman" w:hAnsi="Times New Roman" w:cs="Times New Roman"/>
          <w:color w:val="auto"/>
          <w:sz w:val="24"/>
          <w:szCs w:val="24"/>
          <w:lang w:val="ro-RO"/>
        </w:rPr>
      </w:pPr>
      <w:bookmarkStart w:id="5" w:name="_Hlk209692342"/>
      <w:r w:rsidRPr="00071E16">
        <w:rPr>
          <w:rFonts w:ascii="Times New Roman" w:eastAsia="Times New Roman" w:hAnsi="Times New Roman" w:cs="Times New Roman"/>
          <w:color w:val="auto"/>
          <w:sz w:val="24"/>
          <w:szCs w:val="24"/>
          <w:lang w:val="ro-RO"/>
        </w:rPr>
        <w:lastRenderedPageBreak/>
        <w:t xml:space="preserve">Obiectivele propunerii: </w:t>
      </w:r>
      <w:r w:rsidR="005C4F7A" w:rsidRPr="005C4F7A">
        <w:rPr>
          <w:rFonts w:ascii="Times New Roman" w:eastAsia="Times New Roman" w:hAnsi="Times New Roman" w:cs="Times New Roman"/>
          <w:color w:val="auto"/>
          <w:sz w:val="24"/>
          <w:szCs w:val="24"/>
          <w:lang w:val="ro-RO"/>
        </w:rPr>
        <w:t>Prezenta propunere de modificare a Regulamentului (UE, Euratom) 2020/2093 este prezentată împreună cu Propunerea de regulament privind împrumutul asociat reparațiilor acordat Ucrainei și de modificare a Regulamentului (UE) 2024/792 de instituire a Mecanismului pentru Ucraina (COM(2025) 3502 final).</w:t>
      </w:r>
    </w:p>
    <w:p w14:paraId="7656FBB3" w14:textId="77777777" w:rsidR="005C4F7A" w:rsidRPr="005C4F7A" w:rsidRDefault="005C4F7A" w:rsidP="005C4F7A">
      <w:pPr>
        <w:pStyle w:val="Corp"/>
        <w:spacing w:after="0"/>
        <w:ind w:firstLine="720"/>
        <w:jc w:val="both"/>
        <w:rPr>
          <w:rFonts w:ascii="Times New Roman" w:eastAsia="Times New Roman" w:hAnsi="Times New Roman" w:cs="Times New Roman"/>
          <w:color w:val="auto"/>
          <w:sz w:val="24"/>
          <w:szCs w:val="24"/>
          <w:lang w:val="ro-RO"/>
        </w:rPr>
      </w:pPr>
      <w:r w:rsidRPr="005C4F7A">
        <w:rPr>
          <w:rFonts w:ascii="Times New Roman" w:eastAsia="Times New Roman" w:hAnsi="Times New Roman" w:cs="Times New Roman"/>
          <w:color w:val="auto"/>
          <w:sz w:val="24"/>
          <w:szCs w:val="24"/>
          <w:lang w:val="ro-RO"/>
        </w:rPr>
        <w:t xml:space="preserve">Propunerea vizează modificarea cadrului financiar multianual (CFM) pentru perioada 2021-2027 în scopul oferirii de sprijin financiar continuu Ucrainei și detaliază necesitatea extinderii garanției bugetare aplicate împrumuturilor acordate Ucrainei în cadrul instrumentului de asistență macrofinanciară + (AMF+), ca răspuns la războiul de agresiune neprovocat al Rusiei. </w:t>
      </w:r>
    </w:p>
    <w:p w14:paraId="020307DA" w14:textId="77777777" w:rsidR="005C4F7A" w:rsidRPr="005C4F7A" w:rsidRDefault="005C4F7A" w:rsidP="005C4F7A">
      <w:pPr>
        <w:pStyle w:val="Corp"/>
        <w:spacing w:after="0"/>
        <w:ind w:firstLine="720"/>
        <w:jc w:val="both"/>
        <w:rPr>
          <w:rFonts w:ascii="Times New Roman" w:eastAsia="Times New Roman" w:hAnsi="Times New Roman" w:cs="Times New Roman"/>
          <w:color w:val="auto"/>
          <w:sz w:val="24"/>
          <w:szCs w:val="24"/>
          <w:lang w:val="ro-RO"/>
        </w:rPr>
      </w:pPr>
      <w:r w:rsidRPr="005C4F7A">
        <w:rPr>
          <w:rFonts w:ascii="Times New Roman" w:eastAsia="Times New Roman" w:hAnsi="Times New Roman" w:cs="Times New Roman"/>
          <w:color w:val="auto"/>
          <w:sz w:val="24"/>
          <w:szCs w:val="24"/>
          <w:lang w:val="ro-RO"/>
        </w:rPr>
        <w:t>Obiectivul principal este de a permite mobilizarea resurselor necesare pentru onorarea obligațiilor de rambursare ale Uniunii în cadrul unui nou instrument de asistență, chiar peste plafoanele din CFM, folosind „marja de manevră” până la limita resurselor proprii.</w:t>
      </w:r>
    </w:p>
    <w:p w14:paraId="2883C8BF" w14:textId="77777777" w:rsidR="005C4F7A" w:rsidRDefault="005C4F7A" w:rsidP="005C4F7A">
      <w:pPr>
        <w:pStyle w:val="Corp"/>
        <w:spacing w:after="0"/>
        <w:ind w:firstLine="720"/>
        <w:jc w:val="both"/>
        <w:rPr>
          <w:rFonts w:ascii="Times New Roman" w:eastAsia="Times New Roman" w:hAnsi="Times New Roman" w:cs="Times New Roman"/>
          <w:color w:val="auto"/>
          <w:sz w:val="24"/>
          <w:szCs w:val="24"/>
          <w:lang w:val="ro-RO"/>
        </w:rPr>
      </w:pPr>
      <w:r w:rsidRPr="005C4F7A">
        <w:rPr>
          <w:rFonts w:ascii="Times New Roman" w:eastAsia="Times New Roman" w:hAnsi="Times New Roman" w:cs="Times New Roman"/>
          <w:color w:val="auto"/>
          <w:sz w:val="24"/>
          <w:szCs w:val="24"/>
          <w:lang w:val="ro-RO"/>
        </w:rPr>
        <w:t>Modificarea Regulamentului (UE, Euratom) 2020/2093 va extinde garanția bugetară care se aplică, de regulă, în prezent împrumuturilor acordate Ucrainei în cadrul instrumentului AMF+, al Mecanismului pentru Ucraina  și al AMF acordate Ucrainei în cadrul Mecanismului de cooperare în materie de împrumuturi pentru Ucraina , pentru a acoperi, de asemenea, asistența financiară acordată Ucrainei în temeiul Regulamentului (UE) XXX/XXX al Parlamentului European și al Consiliului. Garanția respectivă ar trebui să asigure faptul că resursele necesare sunt întotdeauna disponibile în timp util, astfel încât Uniunea să își îndeplinească toate obligațiile financiare față de creditorii săi. În consecință, dacă Uniunea trebuie să își onoreze obligațiile de rambursare din resursele disponibile în bugetul Uniunii – în cazul în care un stat beneficiar nu efectuează la timp plata datorată – sumele necesare vor fi mobilizate peste plafoanele din CFM până la limitele plafonului resurselor proprii (din așa-numita „marjă de manevră”).</w:t>
      </w:r>
    </w:p>
    <w:p w14:paraId="52B8340B" w14:textId="4282A1BE" w:rsidR="008F1723" w:rsidRPr="00071E16" w:rsidRDefault="0021078E" w:rsidP="005C4F7A">
      <w:pPr>
        <w:pStyle w:val="Corp"/>
        <w:spacing w:before="120" w:after="0"/>
        <w:ind w:firstLine="720"/>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bookmarkEnd w:id="4"/>
      <w:bookmarkEnd w:id="5"/>
    </w:p>
    <w:p w14:paraId="4E18A85E" w14:textId="5290E96E" w:rsidR="00F12E92"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 xml:space="preserve">Au fost dezbătute </w:t>
      </w:r>
      <w:r w:rsidR="008F1723" w:rsidRPr="00071E16">
        <w:rPr>
          <w:rFonts w:ascii="Times New Roman" w:hAnsi="Times New Roman" w:cs="Times New Roman"/>
          <w:b/>
          <w:bCs/>
          <w:sz w:val="24"/>
          <w:szCs w:val="24"/>
          <w:lang w:val="ro-RO"/>
        </w:rPr>
        <w:t xml:space="preserve">următoarele </w:t>
      </w:r>
      <w:r w:rsidR="00F12E92" w:rsidRPr="00071E16">
        <w:rPr>
          <w:rFonts w:ascii="Times New Roman" w:hAnsi="Times New Roman" w:cs="Times New Roman"/>
          <w:b/>
          <w:bCs/>
          <w:sz w:val="24"/>
          <w:szCs w:val="24"/>
          <w:lang w:val="ro-RO"/>
        </w:rPr>
        <w:t>memorandumuri:</w:t>
      </w:r>
    </w:p>
    <w:p w14:paraId="488AB639" w14:textId="77777777" w:rsidR="00C4566A" w:rsidRPr="00071E16" w:rsidRDefault="00C4566A" w:rsidP="00C4566A">
      <w:pPr>
        <w:pStyle w:val="ListParagraph"/>
        <w:spacing w:before="120" w:after="240"/>
        <w:ind w:left="984"/>
        <w:jc w:val="both"/>
        <w:rPr>
          <w:b/>
          <w:bCs/>
          <w:lang w:val="ro-RO"/>
        </w:rPr>
      </w:pPr>
      <w:bookmarkStart w:id="6" w:name="_Hlk207618094"/>
      <w:bookmarkEnd w:id="2"/>
      <w:r w:rsidRPr="00071E16">
        <w:rPr>
          <w:b/>
          <w:bCs/>
          <w:lang w:val="ro-RO"/>
        </w:rPr>
        <w:t>Membrii comisiei au dezbătut și avizat favorabil, cu unanimitate de voturi, următoarele memorandum-uri aferente unor acțiuni parlamentare de relații externe:</w:t>
      </w:r>
    </w:p>
    <w:bookmarkEnd w:id="6"/>
    <w:p w14:paraId="0C7D8B3E" w14:textId="407FEFF1" w:rsidR="00C4566A" w:rsidRPr="00071E16" w:rsidRDefault="00D21154" w:rsidP="00C4566A">
      <w:pPr>
        <w:pStyle w:val="Style2"/>
        <w:numPr>
          <w:ilvl w:val="0"/>
          <w:numId w:val="24"/>
        </w:numPr>
        <w:spacing w:after="240" w:line="240" w:lineRule="auto"/>
        <w:jc w:val="both"/>
        <w:rPr>
          <w:rFonts w:ascii="Times New Roman" w:hAnsi="Times New Roman" w:cs="Times New Roman"/>
          <w:bCs/>
          <w:sz w:val="24"/>
          <w:szCs w:val="24"/>
          <w:lang w:val="ro-RO"/>
        </w:rPr>
      </w:pPr>
      <w:r w:rsidRPr="00D21154">
        <w:rPr>
          <w:rFonts w:ascii="Times New Roman" w:hAnsi="Times New Roman" w:cs="Times New Roman"/>
          <w:bCs/>
          <w:sz w:val="24"/>
          <w:szCs w:val="24"/>
          <w:lang w:val="ro-RO"/>
        </w:rPr>
        <w:t xml:space="preserve">Programul activităților externe </w:t>
      </w:r>
      <w:r>
        <w:rPr>
          <w:rFonts w:ascii="Times New Roman" w:hAnsi="Times New Roman" w:cs="Times New Roman"/>
          <w:bCs/>
          <w:sz w:val="24"/>
          <w:szCs w:val="24"/>
          <w:lang w:val="ro-RO"/>
        </w:rPr>
        <w:t xml:space="preserve">ale Senatului </w:t>
      </w:r>
      <w:r w:rsidRPr="00D21154">
        <w:rPr>
          <w:rFonts w:ascii="Times New Roman" w:hAnsi="Times New Roman" w:cs="Times New Roman"/>
          <w:bCs/>
          <w:sz w:val="24"/>
          <w:szCs w:val="24"/>
          <w:lang w:val="ro-RO"/>
        </w:rPr>
        <w:t>pe anul 2026</w:t>
      </w:r>
      <w:r w:rsidR="00C17CE3" w:rsidRPr="00C17CE3">
        <w:rPr>
          <w:rFonts w:ascii="Times New Roman" w:hAnsi="Times New Roman" w:cs="Times New Roman"/>
          <w:bCs/>
          <w:sz w:val="24"/>
          <w:szCs w:val="24"/>
          <w:lang w:val="ro-RO"/>
        </w:rPr>
        <w:t>.</w:t>
      </w:r>
    </w:p>
    <w:p w14:paraId="47537787" w14:textId="79BF22D7"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D21154" w:rsidRPr="00D21154">
        <w:rPr>
          <w:rFonts w:ascii="Times New Roman" w:hAnsi="Times New Roman" w:cs="Times New Roman"/>
          <w:bCs/>
          <w:sz w:val="24"/>
          <w:szCs w:val="24"/>
          <w:lang w:val="ro-RO"/>
        </w:rPr>
        <w:t>membrilor Delegației Parlamentului României la APCE, la prima parte a Sesiunii ordinare a Adunării Parlamentare a Consiliului Europei (Strasbourg, 26-30 ianuarie 2026).</w:t>
      </w:r>
    </w:p>
    <w:p w14:paraId="681D641C" w14:textId="7B052DD3"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D21154" w:rsidRPr="00D21154">
        <w:rPr>
          <w:rFonts w:ascii="Times New Roman" w:hAnsi="Times New Roman" w:cs="Times New Roman"/>
          <w:bCs/>
          <w:sz w:val="24"/>
          <w:szCs w:val="24"/>
          <w:lang w:val="ro-RO"/>
        </w:rPr>
        <w:t xml:space="preserve">dnei senator Rodica </w:t>
      </w:r>
      <w:proofErr w:type="spellStart"/>
      <w:r w:rsidR="00D21154" w:rsidRPr="00D21154">
        <w:rPr>
          <w:rFonts w:ascii="Times New Roman" w:hAnsi="Times New Roman" w:cs="Times New Roman"/>
          <w:bCs/>
          <w:sz w:val="24"/>
          <w:szCs w:val="24"/>
          <w:lang w:val="ro-RO"/>
        </w:rPr>
        <w:t>Cușnir</w:t>
      </w:r>
      <w:proofErr w:type="spellEnd"/>
      <w:r w:rsidR="00D21154" w:rsidRPr="00D21154">
        <w:rPr>
          <w:rFonts w:ascii="Times New Roman" w:hAnsi="Times New Roman" w:cs="Times New Roman"/>
          <w:bCs/>
          <w:sz w:val="24"/>
          <w:szCs w:val="24"/>
          <w:lang w:val="ro-RO"/>
        </w:rPr>
        <w:t xml:space="preserve"> la cea de-a doua Sesiune a Forumului Femeilor Parlamentare al Adunării Parlamentare a Mediteranei (Abu Dhabi, 27-28 ianuarie 2026).</w:t>
      </w:r>
    </w:p>
    <w:p w14:paraId="566F30C4" w14:textId="07BD08F9" w:rsidR="006871F2" w:rsidRPr="00071E16" w:rsidRDefault="006871F2" w:rsidP="006871F2">
      <w:pPr>
        <w:pStyle w:val="Style2"/>
        <w:spacing w:after="0"/>
        <w:ind w:left="624"/>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Ședința Comisiei a fost declarată închisă de către domnul senator Titus CORLĂȚEAN,</w:t>
      </w:r>
    </w:p>
    <w:p w14:paraId="11625C48" w14:textId="1144809A" w:rsidR="008068A2" w:rsidRPr="00D92DE7" w:rsidRDefault="006871F2" w:rsidP="00D92DE7">
      <w:pPr>
        <w:pStyle w:val="Style2"/>
        <w:spacing w:after="240" w:line="240" w:lineRule="auto"/>
        <w:ind w:left="624" w:firstLine="0"/>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președintele Comisiei pentru politică externă.</w:t>
      </w:r>
    </w:p>
    <w:sectPr w:rsidR="008068A2" w:rsidRPr="00D92DE7"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97ED" w14:textId="77777777" w:rsidR="00F13980" w:rsidRDefault="00F13980">
      <w:r>
        <w:separator/>
      </w:r>
    </w:p>
  </w:endnote>
  <w:endnote w:type="continuationSeparator" w:id="0">
    <w:p w14:paraId="1536ECF6" w14:textId="77777777" w:rsidR="00F13980" w:rsidRDefault="00F1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5B5E" w14:textId="77777777" w:rsidR="00F13980" w:rsidRDefault="00F13980">
      <w:r>
        <w:separator/>
      </w:r>
    </w:p>
  </w:footnote>
  <w:footnote w:type="continuationSeparator" w:id="0">
    <w:p w14:paraId="74376D3C" w14:textId="77777777" w:rsidR="00F13980" w:rsidRDefault="00F1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4CFA718A"/>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16A2419"/>
    <w:multiLevelType w:val="hybridMultilevel"/>
    <w:tmpl w:val="3EBE4D32"/>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54347C9"/>
    <w:multiLevelType w:val="hybridMultilevel"/>
    <w:tmpl w:val="7A4AEE3E"/>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3"/>
  </w:num>
  <w:num w:numId="2" w16cid:durableId="1214317744">
    <w:abstractNumId w:val="10"/>
  </w:num>
  <w:num w:numId="3" w16cid:durableId="380906007">
    <w:abstractNumId w:val="2"/>
  </w:num>
  <w:num w:numId="4" w16cid:durableId="2024896848">
    <w:abstractNumId w:val="17"/>
  </w:num>
  <w:num w:numId="5" w16cid:durableId="881752974">
    <w:abstractNumId w:val="16"/>
  </w:num>
  <w:num w:numId="6" w16cid:durableId="1553737834">
    <w:abstractNumId w:val="7"/>
  </w:num>
  <w:num w:numId="7" w16cid:durableId="1967615689">
    <w:abstractNumId w:val="19"/>
  </w:num>
  <w:num w:numId="8" w16cid:durableId="1604387078">
    <w:abstractNumId w:val="20"/>
  </w:num>
  <w:num w:numId="9" w16cid:durableId="1095519222">
    <w:abstractNumId w:val="6"/>
  </w:num>
  <w:num w:numId="10" w16cid:durableId="971137709">
    <w:abstractNumId w:val="21"/>
  </w:num>
  <w:num w:numId="11" w16cid:durableId="1994412233">
    <w:abstractNumId w:val="23"/>
  </w:num>
  <w:num w:numId="12" w16cid:durableId="1988778429">
    <w:abstractNumId w:val="12"/>
  </w:num>
  <w:num w:numId="13" w16cid:durableId="910458004">
    <w:abstractNumId w:val="8"/>
  </w:num>
  <w:num w:numId="14" w16cid:durableId="1006858963">
    <w:abstractNumId w:val="18"/>
  </w:num>
  <w:num w:numId="15" w16cid:durableId="637875495">
    <w:abstractNumId w:val="1"/>
  </w:num>
  <w:num w:numId="16" w16cid:durableId="1824809399">
    <w:abstractNumId w:val="9"/>
  </w:num>
  <w:num w:numId="17" w16cid:durableId="153961803">
    <w:abstractNumId w:val="11"/>
  </w:num>
  <w:num w:numId="18" w16cid:durableId="359169617">
    <w:abstractNumId w:val="0"/>
  </w:num>
  <w:num w:numId="19" w16cid:durableId="2146963156">
    <w:abstractNumId w:val="3"/>
  </w:num>
  <w:num w:numId="20" w16cid:durableId="1792943417">
    <w:abstractNumId w:val="5"/>
  </w:num>
  <w:num w:numId="21" w16cid:durableId="564605295">
    <w:abstractNumId w:val="14"/>
  </w:num>
  <w:num w:numId="22" w16cid:durableId="1053700348">
    <w:abstractNumId w:val="15"/>
  </w:num>
  <w:num w:numId="23" w16cid:durableId="1177185864">
    <w:abstractNumId w:val="22"/>
  </w:num>
  <w:num w:numId="24" w16cid:durableId="170258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5F3F"/>
    <w:rsid w:val="000176A0"/>
    <w:rsid w:val="000319CD"/>
    <w:rsid w:val="0003504E"/>
    <w:rsid w:val="00036232"/>
    <w:rsid w:val="00071E16"/>
    <w:rsid w:val="000900A5"/>
    <w:rsid w:val="00095C58"/>
    <w:rsid w:val="000A786C"/>
    <w:rsid w:val="000B1ACD"/>
    <w:rsid w:val="000C1459"/>
    <w:rsid w:val="000D0093"/>
    <w:rsid w:val="000D0CE4"/>
    <w:rsid w:val="000E45DC"/>
    <w:rsid w:val="000E5934"/>
    <w:rsid w:val="000F3EF5"/>
    <w:rsid w:val="000F53EC"/>
    <w:rsid w:val="00147EDE"/>
    <w:rsid w:val="00157632"/>
    <w:rsid w:val="001622F1"/>
    <w:rsid w:val="00173BF3"/>
    <w:rsid w:val="00197BB6"/>
    <w:rsid w:val="001A077B"/>
    <w:rsid w:val="001A2912"/>
    <w:rsid w:val="001A4A8D"/>
    <w:rsid w:val="001B2D35"/>
    <w:rsid w:val="001C07F7"/>
    <w:rsid w:val="001C5446"/>
    <w:rsid w:val="001C7B62"/>
    <w:rsid w:val="001E23BF"/>
    <w:rsid w:val="001E3BCF"/>
    <w:rsid w:val="001E6234"/>
    <w:rsid w:val="001F1AFF"/>
    <w:rsid w:val="0020217E"/>
    <w:rsid w:val="0021078E"/>
    <w:rsid w:val="00210F98"/>
    <w:rsid w:val="002249C1"/>
    <w:rsid w:val="002326A0"/>
    <w:rsid w:val="00233C62"/>
    <w:rsid w:val="002367E3"/>
    <w:rsid w:val="00243600"/>
    <w:rsid w:val="00244941"/>
    <w:rsid w:val="00245242"/>
    <w:rsid w:val="00260533"/>
    <w:rsid w:val="00296E89"/>
    <w:rsid w:val="002D0ACC"/>
    <w:rsid w:val="002E1020"/>
    <w:rsid w:val="002F06DA"/>
    <w:rsid w:val="002F269F"/>
    <w:rsid w:val="002F286C"/>
    <w:rsid w:val="0030003C"/>
    <w:rsid w:val="003151A2"/>
    <w:rsid w:val="00324DA4"/>
    <w:rsid w:val="00332E02"/>
    <w:rsid w:val="003374B8"/>
    <w:rsid w:val="00390415"/>
    <w:rsid w:val="00396588"/>
    <w:rsid w:val="003A5C16"/>
    <w:rsid w:val="003A7DCD"/>
    <w:rsid w:val="003B4F7B"/>
    <w:rsid w:val="003B660A"/>
    <w:rsid w:val="003C78AB"/>
    <w:rsid w:val="003E0B05"/>
    <w:rsid w:val="003F1453"/>
    <w:rsid w:val="003F27E8"/>
    <w:rsid w:val="0040461A"/>
    <w:rsid w:val="004048C8"/>
    <w:rsid w:val="00420149"/>
    <w:rsid w:val="00432A3A"/>
    <w:rsid w:val="00445E0E"/>
    <w:rsid w:val="004528D3"/>
    <w:rsid w:val="00452ED6"/>
    <w:rsid w:val="00462544"/>
    <w:rsid w:val="004777A1"/>
    <w:rsid w:val="004B4EB5"/>
    <w:rsid w:val="004C2A43"/>
    <w:rsid w:val="004C7835"/>
    <w:rsid w:val="004F08B3"/>
    <w:rsid w:val="00501AE6"/>
    <w:rsid w:val="00513ABC"/>
    <w:rsid w:val="005155D9"/>
    <w:rsid w:val="00520D2C"/>
    <w:rsid w:val="00534F8C"/>
    <w:rsid w:val="00542571"/>
    <w:rsid w:val="00542CC8"/>
    <w:rsid w:val="005448E8"/>
    <w:rsid w:val="005520BA"/>
    <w:rsid w:val="00553174"/>
    <w:rsid w:val="00586C25"/>
    <w:rsid w:val="00587E7C"/>
    <w:rsid w:val="00595F76"/>
    <w:rsid w:val="005A3887"/>
    <w:rsid w:val="005C2260"/>
    <w:rsid w:val="005C49AB"/>
    <w:rsid w:val="005C4F7A"/>
    <w:rsid w:val="005E2C13"/>
    <w:rsid w:val="005E427F"/>
    <w:rsid w:val="005E70B2"/>
    <w:rsid w:val="005F3AB9"/>
    <w:rsid w:val="00614F3A"/>
    <w:rsid w:val="00620285"/>
    <w:rsid w:val="00621FC2"/>
    <w:rsid w:val="00641E1E"/>
    <w:rsid w:val="00650B37"/>
    <w:rsid w:val="00656D0B"/>
    <w:rsid w:val="006652F1"/>
    <w:rsid w:val="00681511"/>
    <w:rsid w:val="0068595A"/>
    <w:rsid w:val="006871F2"/>
    <w:rsid w:val="00694EC6"/>
    <w:rsid w:val="006A2B3B"/>
    <w:rsid w:val="006A5E33"/>
    <w:rsid w:val="006B02DB"/>
    <w:rsid w:val="006B045F"/>
    <w:rsid w:val="006B181F"/>
    <w:rsid w:val="006B20C8"/>
    <w:rsid w:val="006C707E"/>
    <w:rsid w:val="006E4365"/>
    <w:rsid w:val="006E5348"/>
    <w:rsid w:val="006F2179"/>
    <w:rsid w:val="006F62C9"/>
    <w:rsid w:val="006F6FD8"/>
    <w:rsid w:val="00721C58"/>
    <w:rsid w:val="00721D69"/>
    <w:rsid w:val="007263FE"/>
    <w:rsid w:val="00741BAC"/>
    <w:rsid w:val="00742EAF"/>
    <w:rsid w:val="00743BC9"/>
    <w:rsid w:val="007522F7"/>
    <w:rsid w:val="00766A1C"/>
    <w:rsid w:val="0078370F"/>
    <w:rsid w:val="007924A2"/>
    <w:rsid w:val="00793E39"/>
    <w:rsid w:val="007A0339"/>
    <w:rsid w:val="007A2EBF"/>
    <w:rsid w:val="007A389E"/>
    <w:rsid w:val="007A6874"/>
    <w:rsid w:val="007B66B5"/>
    <w:rsid w:val="007C5005"/>
    <w:rsid w:val="007C75E9"/>
    <w:rsid w:val="007E7338"/>
    <w:rsid w:val="007F399A"/>
    <w:rsid w:val="008068A2"/>
    <w:rsid w:val="00817A94"/>
    <w:rsid w:val="00820C7D"/>
    <w:rsid w:val="0083555E"/>
    <w:rsid w:val="00842797"/>
    <w:rsid w:val="0084296D"/>
    <w:rsid w:val="00853E75"/>
    <w:rsid w:val="00855956"/>
    <w:rsid w:val="008624EA"/>
    <w:rsid w:val="008658F1"/>
    <w:rsid w:val="008825DC"/>
    <w:rsid w:val="00895F10"/>
    <w:rsid w:val="008A1DA9"/>
    <w:rsid w:val="008B5A5E"/>
    <w:rsid w:val="008F1723"/>
    <w:rsid w:val="008F5A63"/>
    <w:rsid w:val="00902F39"/>
    <w:rsid w:val="00923A63"/>
    <w:rsid w:val="00946BDB"/>
    <w:rsid w:val="00961797"/>
    <w:rsid w:val="00962410"/>
    <w:rsid w:val="009740C6"/>
    <w:rsid w:val="00975756"/>
    <w:rsid w:val="009825C7"/>
    <w:rsid w:val="009833DA"/>
    <w:rsid w:val="0099379A"/>
    <w:rsid w:val="009948E8"/>
    <w:rsid w:val="009C03F3"/>
    <w:rsid w:val="009C29D0"/>
    <w:rsid w:val="009D5F86"/>
    <w:rsid w:val="009E0B79"/>
    <w:rsid w:val="009E2A83"/>
    <w:rsid w:val="009F5B06"/>
    <w:rsid w:val="00A00BD3"/>
    <w:rsid w:val="00A0137F"/>
    <w:rsid w:val="00A06CC4"/>
    <w:rsid w:val="00A11CA8"/>
    <w:rsid w:val="00A12F01"/>
    <w:rsid w:val="00A150B7"/>
    <w:rsid w:val="00A15541"/>
    <w:rsid w:val="00A43D99"/>
    <w:rsid w:val="00A55E9F"/>
    <w:rsid w:val="00A60112"/>
    <w:rsid w:val="00A6279E"/>
    <w:rsid w:val="00A73BBB"/>
    <w:rsid w:val="00A74711"/>
    <w:rsid w:val="00A8193A"/>
    <w:rsid w:val="00A831B5"/>
    <w:rsid w:val="00A90D14"/>
    <w:rsid w:val="00A90D4A"/>
    <w:rsid w:val="00A934C6"/>
    <w:rsid w:val="00A9546B"/>
    <w:rsid w:val="00AA4172"/>
    <w:rsid w:val="00AA7D40"/>
    <w:rsid w:val="00AB1837"/>
    <w:rsid w:val="00AD066C"/>
    <w:rsid w:val="00AE23EA"/>
    <w:rsid w:val="00AE579A"/>
    <w:rsid w:val="00AF10A8"/>
    <w:rsid w:val="00B04EA7"/>
    <w:rsid w:val="00B07266"/>
    <w:rsid w:val="00B07D18"/>
    <w:rsid w:val="00B300FC"/>
    <w:rsid w:val="00B33E7D"/>
    <w:rsid w:val="00B53B77"/>
    <w:rsid w:val="00B63537"/>
    <w:rsid w:val="00B65C32"/>
    <w:rsid w:val="00B80EEA"/>
    <w:rsid w:val="00B97404"/>
    <w:rsid w:val="00BC643A"/>
    <w:rsid w:val="00BD3D8D"/>
    <w:rsid w:val="00BE4AA4"/>
    <w:rsid w:val="00BE63CE"/>
    <w:rsid w:val="00BF080D"/>
    <w:rsid w:val="00C0004E"/>
    <w:rsid w:val="00C17CE3"/>
    <w:rsid w:val="00C24BF7"/>
    <w:rsid w:val="00C33344"/>
    <w:rsid w:val="00C4566A"/>
    <w:rsid w:val="00C61824"/>
    <w:rsid w:val="00C651B0"/>
    <w:rsid w:val="00C70F83"/>
    <w:rsid w:val="00C776FF"/>
    <w:rsid w:val="00C903F5"/>
    <w:rsid w:val="00C966DE"/>
    <w:rsid w:val="00CB348E"/>
    <w:rsid w:val="00CD290A"/>
    <w:rsid w:val="00CD605F"/>
    <w:rsid w:val="00CF2EAC"/>
    <w:rsid w:val="00CF6935"/>
    <w:rsid w:val="00D21154"/>
    <w:rsid w:val="00D22C7F"/>
    <w:rsid w:val="00D24076"/>
    <w:rsid w:val="00D3477A"/>
    <w:rsid w:val="00D34E5D"/>
    <w:rsid w:val="00D44BC0"/>
    <w:rsid w:val="00D645AC"/>
    <w:rsid w:val="00D91174"/>
    <w:rsid w:val="00D92DE7"/>
    <w:rsid w:val="00DA530D"/>
    <w:rsid w:val="00DB389D"/>
    <w:rsid w:val="00DB4B5A"/>
    <w:rsid w:val="00DB4BC4"/>
    <w:rsid w:val="00DD018D"/>
    <w:rsid w:val="00E0059A"/>
    <w:rsid w:val="00E23589"/>
    <w:rsid w:val="00E31CFA"/>
    <w:rsid w:val="00E33F5F"/>
    <w:rsid w:val="00E466FE"/>
    <w:rsid w:val="00E55751"/>
    <w:rsid w:val="00E65F44"/>
    <w:rsid w:val="00E67C36"/>
    <w:rsid w:val="00E7294C"/>
    <w:rsid w:val="00E91388"/>
    <w:rsid w:val="00E94FF4"/>
    <w:rsid w:val="00EA3607"/>
    <w:rsid w:val="00EB377A"/>
    <w:rsid w:val="00EB7A1F"/>
    <w:rsid w:val="00EE2A41"/>
    <w:rsid w:val="00EE5F28"/>
    <w:rsid w:val="00EF4ED0"/>
    <w:rsid w:val="00F00D87"/>
    <w:rsid w:val="00F12E92"/>
    <w:rsid w:val="00F13980"/>
    <w:rsid w:val="00F23996"/>
    <w:rsid w:val="00F30247"/>
    <w:rsid w:val="00F3372D"/>
    <w:rsid w:val="00F4108F"/>
    <w:rsid w:val="00F62759"/>
    <w:rsid w:val="00F63C16"/>
    <w:rsid w:val="00F661F7"/>
    <w:rsid w:val="00FA0AEC"/>
    <w:rsid w:val="00FB1056"/>
    <w:rsid w:val="00FC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4</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Cristian Tudose</cp:lastModifiedBy>
  <cp:revision>32</cp:revision>
  <cp:lastPrinted>2025-06-19T08:53:00Z</cp:lastPrinted>
  <dcterms:created xsi:type="dcterms:W3CDTF">2025-09-01T09:30:00Z</dcterms:created>
  <dcterms:modified xsi:type="dcterms:W3CDTF">2026-01-19T12:22:00Z</dcterms:modified>
</cp:coreProperties>
</file>